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48" w:type="dxa"/>
        <w:tblLayout w:type="fixed"/>
        <w:tblLook w:val="01E0" w:firstRow="1" w:lastRow="1" w:firstColumn="1" w:lastColumn="1" w:noHBand="0" w:noVBand="0"/>
      </w:tblPr>
      <w:tblGrid>
        <w:gridCol w:w="8165"/>
        <w:gridCol w:w="909"/>
      </w:tblGrid>
      <w:tr w:rsidR="0072345A" w:rsidRPr="00E80B4A" w14:paraId="3E8210AA" w14:textId="77777777">
        <w:trPr>
          <w:trHeight w:val="877"/>
        </w:trPr>
        <w:tc>
          <w:tcPr>
            <w:tcW w:w="8165" w:type="dxa"/>
          </w:tcPr>
          <w:tbl>
            <w:tblPr>
              <w:tblStyle w:val="TableNormal"/>
              <w:tblW w:w="0" w:type="auto"/>
              <w:tblInd w:w="148" w:type="dxa"/>
              <w:tblLayout w:type="fixed"/>
              <w:tblLook w:val="01E0" w:firstRow="1" w:lastRow="1" w:firstColumn="1" w:lastColumn="1" w:noHBand="0" w:noVBand="0"/>
            </w:tblPr>
            <w:tblGrid>
              <w:gridCol w:w="1126"/>
              <w:gridCol w:w="7039"/>
              <w:gridCol w:w="909"/>
            </w:tblGrid>
            <w:tr w:rsidR="00234693" w:rsidRPr="00E80B4A" w14:paraId="7DC00329" w14:textId="77777777" w:rsidTr="008C45B4">
              <w:trPr>
                <w:trHeight w:val="877"/>
              </w:trPr>
              <w:tc>
                <w:tcPr>
                  <w:tcW w:w="8165" w:type="dxa"/>
                  <w:gridSpan w:val="2"/>
                </w:tcPr>
                <w:p w14:paraId="0522350F" w14:textId="77777777" w:rsidR="00234693" w:rsidRPr="00E80B4A" w:rsidRDefault="00234693" w:rsidP="00E80B4A">
                  <w:pPr>
                    <w:pStyle w:val="TableParagraph"/>
                    <w:rPr>
                      <w:rFonts w:ascii="Times New Roman" w:hAnsi="Times New Roman" w:cs="Times New Roman"/>
                      <w:sz w:val="20"/>
                    </w:rPr>
                  </w:pPr>
                  <w:r w:rsidRPr="00E80B4A">
                    <w:rPr>
                      <w:rFonts w:ascii="Times New Roman" w:hAnsi="Times New Roman" w:cs="Times New Roman"/>
                      <w:noProof/>
                      <w:sz w:val="20"/>
                      <w:lang w:val="en-US"/>
                    </w:rPr>
                    <w:drawing>
                      <wp:inline distT="0" distB="0" distL="0" distR="0" wp14:anchorId="2E28A7BF" wp14:editId="68B81C22">
                        <wp:extent cx="2647413" cy="5448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7413" cy="544829"/>
                                </a:xfrm>
                                <a:prstGeom prst="rect">
                                  <a:avLst/>
                                </a:prstGeom>
                              </pic:spPr>
                            </pic:pic>
                          </a:graphicData>
                        </a:graphic>
                      </wp:inline>
                    </w:drawing>
                  </w:r>
                </w:p>
              </w:tc>
              <w:tc>
                <w:tcPr>
                  <w:tcW w:w="909" w:type="dxa"/>
                </w:tcPr>
                <w:p w14:paraId="0C5A42C4" w14:textId="77777777" w:rsidR="00234693" w:rsidRPr="00E80B4A" w:rsidRDefault="00234693" w:rsidP="00E80B4A">
                  <w:pPr>
                    <w:pStyle w:val="TableParagraph"/>
                    <w:ind w:right="-29"/>
                    <w:rPr>
                      <w:rFonts w:ascii="Times New Roman" w:hAnsi="Times New Roman" w:cs="Times New Roman"/>
                      <w:sz w:val="20"/>
                    </w:rPr>
                  </w:pPr>
                  <w:r w:rsidRPr="00E80B4A">
                    <w:rPr>
                      <w:rFonts w:ascii="Times New Roman" w:hAnsi="Times New Roman" w:cs="Times New Roman"/>
                      <w:noProof/>
                      <w:sz w:val="20"/>
                      <w:lang w:val="en-US"/>
                    </w:rPr>
                    <w:drawing>
                      <wp:inline distT="0" distB="0" distL="0" distR="0" wp14:anchorId="7A1C24B5" wp14:editId="24B92439">
                        <wp:extent cx="544829" cy="54482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44829" cy="544829"/>
                                </a:xfrm>
                                <a:prstGeom prst="rect">
                                  <a:avLst/>
                                </a:prstGeom>
                              </pic:spPr>
                            </pic:pic>
                          </a:graphicData>
                        </a:graphic>
                      </wp:inline>
                    </w:drawing>
                  </w:r>
                </w:p>
              </w:tc>
            </w:tr>
            <w:tr w:rsidR="00234693" w:rsidRPr="00E80B4A" w14:paraId="70743CC8" w14:textId="77777777" w:rsidTr="008C45B4">
              <w:trPr>
                <w:trHeight w:val="940"/>
              </w:trPr>
              <w:tc>
                <w:tcPr>
                  <w:tcW w:w="1126" w:type="dxa"/>
                </w:tcPr>
                <w:p w14:paraId="4A46314F" w14:textId="77777777" w:rsidR="00234693" w:rsidRPr="00E80B4A" w:rsidRDefault="00234693" w:rsidP="00E80B4A">
                  <w:pPr>
                    <w:pStyle w:val="TableParagraph"/>
                    <w:rPr>
                      <w:rFonts w:ascii="Times New Roman" w:hAnsi="Times New Roman" w:cs="Times New Roman"/>
                      <w:b/>
                      <w:color w:val="002060"/>
                    </w:rPr>
                  </w:pPr>
                  <w:r w:rsidRPr="00E80B4A">
                    <w:rPr>
                      <w:rFonts w:ascii="Times New Roman" w:hAnsi="Times New Roman" w:cs="Times New Roman"/>
                      <w:b/>
                      <w:color w:val="002060"/>
                      <w:spacing w:val="-4"/>
                    </w:rPr>
                    <w:t>Apel:</w:t>
                  </w:r>
                </w:p>
              </w:tc>
              <w:tc>
                <w:tcPr>
                  <w:tcW w:w="7039" w:type="dxa"/>
                </w:tcPr>
                <w:p w14:paraId="01DE6F75" w14:textId="77777777" w:rsidR="00234693" w:rsidRPr="00E80B4A" w:rsidRDefault="00234693" w:rsidP="00E80B4A">
                  <w:pPr>
                    <w:pStyle w:val="TableParagraph"/>
                    <w:tabs>
                      <w:tab w:val="left" w:pos="4291"/>
                      <w:tab w:val="left" w:pos="4896"/>
                      <w:tab w:val="left" w:pos="6124"/>
                    </w:tabs>
                    <w:ind w:left="174" w:right="26" w:firstLine="50"/>
                    <w:rPr>
                      <w:rFonts w:ascii="Times New Roman" w:hAnsi="Times New Roman" w:cs="Times New Roman"/>
                      <w:b/>
                      <w:color w:val="002060"/>
                    </w:rPr>
                  </w:pPr>
                  <w:r w:rsidRPr="00E80B4A">
                    <w:rPr>
                      <w:rFonts w:ascii="Times New Roman" w:hAnsi="Times New Roman" w:cs="Times New Roman"/>
                      <w:b/>
                      <w:color w:val="002060"/>
                      <w:spacing w:val="-2"/>
                    </w:rPr>
                    <w:t>PEO/76/PEO_P8/OP4/ESO4.5/PEO_A3</w:t>
                  </w:r>
                  <w:r w:rsidRPr="00E80B4A">
                    <w:rPr>
                      <w:rFonts w:ascii="Times New Roman" w:hAnsi="Times New Roman" w:cs="Times New Roman"/>
                      <w:b/>
                      <w:color w:val="002060"/>
                    </w:rPr>
                    <w:tab/>
                  </w:r>
                  <w:r w:rsidRPr="00E80B4A">
                    <w:rPr>
                      <w:rFonts w:ascii="Times New Roman" w:hAnsi="Times New Roman" w:cs="Times New Roman"/>
                      <w:b/>
                      <w:color w:val="002060"/>
                      <w:spacing w:val="-10"/>
                    </w:rPr>
                    <w:t>-</w:t>
                  </w:r>
                  <w:r w:rsidRPr="00E80B4A">
                    <w:rPr>
                      <w:rFonts w:ascii="Times New Roman" w:hAnsi="Times New Roman" w:cs="Times New Roman"/>
                      <w:b/>
                      <w:color w:val="002060"/>
                    </w:rPr>
                    <w:tab/>
                  </w:r>
                  <w:r w:rsidRPr="00E80B4A">
                    <w:rPr>
                      <w:rFonts w:ascii="Times New Roman" w:hAnsi="Times New Roman" w:cs="Times New Roman"/>
                      <w:b/>
                      <w:color w:val="002060"/>
                      <w:spacing w:val="-2"/>
                    </w:rPr>
                    <w:t>Adaptarea</w:t>
                  </w:r>
                  <w:r w:rsidRPr="00E80B4A">
                    <w:rPr>
                      <w:rFonts w:ascii="Times New Roman" w:hAnsi="Times New Roman" w:cs="Times New Roman"/>
                      <w:b/>
                      <w:color w:val="002060"/>
                    </w:rPr>
                    <w:tab/>
                  </w:r>
                  <w:r w:rsidRPr="00E80B4A">
                    <w:rPr>
                      <w:rFonts w:ascii="Times New Roman" w:hAnsi="Times New Roman" w:cs="Times New Roman"/>
                      <w:b/>
                      <w:color w:val="002060"/>
                      <w:spacing w:val="-2"/>
                    </w:rPr>
                    <w:t xml:space="preserve">serviciilor educaționale </w:t>
                  </w:r>
                  <w:r w:rsidRPr="00E80B4A">
                    <w:rPr>
                      <w:rFonts w:ascii="Times New Roman" w:hAnsi="Times New Roman" w:cs="Times New Roman"/>
                      <w:b/>
                      <w:color w:val="002060"/>
                    </w:rPr>
                    <w:t>adresate elevilor si personalului</w:t>
                  </w:r>
                  <w:r w:rsidRPr="00E80B4A">
                    <w:rPr>
                      <w:rFonts w:ascii="Times New Roman" w:hAnsi="Times New Roman" w:cs="Times New Roman"/>
                      <w:b/>
                      <w:color w:val="002060"/>
                      <w:spacing w:val="79"/>
                    </w:rPr>
                    <w:t xml:space="preserve"> </w:t>
                  </w:r>
                  <w:r w:rsidRPr="00E80B4A">
                    <w:rPr>
                      <w:rFonts w:ascii="Times New Roman" w:hAnsi="Times New Roman" w:cs="Times New Roman"/>
                      <w:b/>
                      <w:color w:val="002060"/>
                    </w:rPr>
                    <w:t xml:space="preserve">didactic din învățământul profesional și </w:t>
                  </w:r>
                  <w:r w:rsidRPr="00E80B4A">
                    <w:rPr>
                      <w:rFonts w:ascii="Times New Roman" w:hAnsi="Times New Roman" w:cs="Times New Roman"/>
                      <w:b/>
                      <w:color w:val="002060"/>
                      <w:spacing w:val="-2"/>
                    </w:rPr>
                    <w:t>tehnic</w:t>
                  </w:r>
                </w:p>
              </w:tc>
              <w:tc>
                <w:tcPr>
                  <w:tcW w:w="909" w:type="dxa"/>
                </w:tcPr>
                <w:p w14:paraId="4D66811E" w14:textId="77777777" w:rsidR="00234693" w:rsidRPr="00E80B4A" w:rsidRDefault="00234693" w:rsidP="00E80B4A">
                  <w:pPr>
                    <w:pStyle w:val="TableParagraph"/>
                    <w:ind w:left="0"/>
                    <w:rPr>
                      <w:rFonts w:ascii="Times New Roman" w:hAnsi="Times New Roman" w:cs="Times New Roman"/>
                      <w:sz w:val="24"/>
                    </w:rPr>
                  </w:pPr>
                </w:p>
              </w:tc>
            </w:tr>
            <w:tr w:rsidR="00234693" w:rsidRPr="00E80B4A" w14:paraId="50CCE5D3" w14:textId="77777777" w:rsidTr="008C45B4">
              <w:trPr>
                <w:trHeight w:val="567"/>
              </w:trPr>
              <w:tc>
                <w:tcPr>
                  <w:tcW w:w="1126" w:type="dxa"/>
                </w:tcPr>
                <w:p w14:paraId="364CB02E" w14:textId="77777777" w:rsidR="00234693" w:rsidRPr="00E80B4A" w:rsidRDefault="00234693" w:rsidP="00E80B4A">
                  <w:pPr>
                    <w:pStyle w:val="TableParagraph"/>
                    <w:ind w:right="24"/>
                    <w:rPr>
                      <w:rFonts w:ascii="Times New Roman" w:hAnsi="Times New Roman" w:cs="Times New Roman"/>
                      <w:b/>
                      <w:color w:val="002060"/>
                    </w:rPr>
                  </w:pPr>
                  <w:r w:rsidRPr="00E80B4A">
                    <w:rPr>
                      <w:rFonts w:ascii="Times New Roman" w:hAnsi="Times New Roman" w:cs="Times New Roman"/>
                      <w:b/>
                      <w:color w:val="002060"/>
                      <w:spacing w:val="-2"/>
                    </w:rPr>
                    <w:t>Titlu proiect:</w:t>
                  </w:r>
                </w:p>
              </w:tc>
              <w:tc>
                <w:tcPr>
                  <w:tcW w:w="7039" w:type="dxa"/>
                </w:tcPr>
                <w:p w14:paraId="370FA15D" w14:textId="77777777" w:rsidR="00234693" w:rsidRPr="00E80B4A" w:rsidRDefault="00234693" w:rsidP="00E80B4A">
                  <w:pPr>
                    <w:pStyle w:val="TableParagraph"/>
                    <w:ind w:left="222"/>
                    <w:rPr>
                      <w:rFonts w:ascii="Times New Roman" w:hAnsi="Times New Roman" w:cs="Times New Roman"/>
                      <w:b/>
                      <w:color w:val="002060"/>
                    </w:rPr>
                  </w:pPr>
                  <w:r w:rsidRPr="00E80B4A">
                    <w:rPr>
                      <w:rFonts w:ascii="Times New Roman" w:hAnsi="Times New Roman" w:cs="Times New Roman"/>
                      <w:b/>
                      <w:color w:val="002060"/>
                    </w:rPr>
                    <w:t>Construind Viitorul cu Practica Elevilor: Proiect Educațional</w:t>
                  </w:r>
                </w:p>
              </w:tc>
              <w:tc>
                <w:tcPr>
                  <w:tcW w:w="909" w:type="dxa"/>
                </w:tcPr>
                <w:p w14:paraId="6DAE3FA7" w14:textId="77777777" w:rsidR="00234693" w:rsidRPr="00E80B4A" w:rsidRDefault="00234693" w:rsidP="00E80B4A">
                  <w:pPr>
                    <w:pStyle w:val="TableParagraph"/>
                    <w:ind w:left="0"/>
                    <w:rPr>
                      <w:rFonts w:ascii="Times New Roman" w:hAnsi="Times New Roman" w:cs="Times New Roman"/>
                      <w:sz w:val="24"/>
                    </w:rPr>
                  </w:pPr>
                </w:p>
              </w:tc>
            </w:tr>
            <w:tr w:rsidR="00234693" w:rsidRPr="00E80B4A" w14:paraId="3A76D909" w14:textId="77777777" w:rsidTr="008C45B4">
              <w:trPr>
                <w:trHeight w:val="310"/>
              </w:trPr>
              <w:tc>
                <w:tcPr>
                  <w:tcW w:w="1126" w:type="dxa"/>
                  <w:tcBorders>
                    <w:bottom w:val="thinThickMediumGap" w:sz="6" w:space="0" w:color="0C4DA1"/>
                  </w:tcBorders>
                </w:tcPr>
                <w:p w14:paraId="5F99A8BE" w14:textId="77777777" w:rsidR="00234693" w:rsidRPr="00E80B4A" w:rsidRDefault="00234693" w:rsidP="00E80B4A">
                  <w:pPr>
                    <w:pStyle w:val="TableParagraph"/>
                    <w:rPr>
                      <w:rFonts w:ascii="Times New Roman" w:hAnsi="Times New Roman" w:cs="Times New Roman"/>
                      <w:b/>
                      <w:color w:val="002060"/>
                    </w:rPr>
                  </w:pPr>
                  <w:r w:rsidRPr="00E80B4A">
                    <w:rPr>
                      <w:rFonts w:ascii="Times New Roman" w:hAnsi="Times New Roman" w:cs="Times New Roman"/>
                      <w:b/>
                      <w:color w:val="002060"/>
                    </w:rPr>
                    <w:t>Cod</w:t>
                  </w:r>
                  <w:r w:rsidRPr="00E80B4A">
                    <w:rPr>
                      <w:rFonts w:ascii="Times New Roman" w:hAnsi="Times New Roman" w:cs="Times New Roman"/>
                      <w:b/>
                      <w:color w:val="002060"/>
                      <w:spacing w:val="-5"/>
                    </w:rPr>
                    <w:t xml:space="preserve"> </w:t>
                  </w:r>
                  <w:r w:rsidRPr="00E80B4A">
                    <w:rPr>
                      <w:rFonts w:ascii="Times New Roman" w:hAnsi="Times New Roman" w:cs="Times New Roman"/>
                      <w:b/>
                      <w:color w:val="002060"/>
                      <w:spacing w:val="-2"/>
                    </w:rPr>
                    <w:t>SMIS:</w:t>
                  </w:r>
                </w:p>
              </w:tc>
              <w:tc>
                <w:tcPr>
                  <w:tcW w:w="7039" w:type="dxa"/>
                  <w:tcBorders>
                    <w:bottom w:val="thinThickMediumGap" w:sz="6" w:space="0" w:color="0C4DA1"/>
                  </w:tcBorders>
                </w:tcPr>
                <w:p w14:paraId="24EB59BE" w14:textId="32968537" w:rsidR="00234693" w:rsidRPr="00E80B4A" w:rsidRDefault="00234693" w:rsidP="00E80B4A">
                  <w:pPr>
                    <w:pStyle w:val="TableParagraph"/>
                    <w:ind w:left="234"/>
                    <w:rPr>
                      <w:rFonts w:ascii="Times New Roman" w:hAnsi="Times New Roman" w:cs="Times New Roman"/>
                      <w:b/>
                      <w:color w:val="002060"/>
                    </w:rPr>
                  </w:pPr>
                  <w:r w:rsidRPr="00E80B4A">
                    <w:rPr>
                      <w:rFonts w:ascii="Times New Roman" w:hAnsi="Times New Roman" w:cs="Times New Roman"/>
                      <w:b/>
                      <w:color w:val="002060"/>
                      <w:spacing w:val="-2"/>
                    </w:rPr>
                    <w:t>3169</w:t>
                  </w:r>
                  <w:r w:rsidR="00432AA2">
                    <w:rPr>
                      <w:rFonts w:ascii="Times New Roman" w:hAnsi="Times New Roman" w:cs="Times New Roman"/>
                      <w:b/>
                      <w:color w:val="002060"/>
                      <w:spacing w:val="-2"/>
                    </w:rPr>
                    <w:t>4</w:t>
                  </w:r>
                  <w:r w:rsidRPr="00E80B4A">
                    <w:rPr>
                      <w:rFonts w:ascii="Times New Roman" w:hAnsi="Times New Roman" w:cs="Times New Roman"/>
                      <w:b/>
                      <w:color w:val="002060"/>
                      <w:spacing w:val="-2"/>
                    </w:rPr>
                    <w:t>7</w:t>
                  </w:r>
                </w:p>
              </w:tc>
              <w:tc>
                <w:tcPr>
                  <w:tcW w:w="909" w:type="dxa"/>
                  <w:tcBorders>
                    <w:bottom w:val="thinThickMediumGap" w:sz="6" w:space="0" w:color="0C4DA1"/>
                  </w:tcBorders>
                </w:tcPr>
                <w:p w14:paraId="73DE83E5" w14:textId="77777777" w:rsidR="00234693" w:rsidRPr="00E80B4A" w:rsidRDefault="00234693" w:rsidP="00E80B4A">
                  <w:pPr>
                    <w:pStyle w:val="TableParagraph"/>
                    <w:ind w:left="0"/>
                    <w:rPr>
                      <w:rFonts w:ascii="Times New Roman" w:hAnsi="Times New Roman" w:cs="Times New Roman"/>
                    </w:rPr>
                  </w:pPr>
                </w:p>
              </w:tc>
            </w:tr>
            <w:tr w:rsidR="00234693" w:rsidRPr="00E80B4A" w14:paraId="5FBE47EF" w14:textId="77777777" w:rsidTr="008C45B4">
              <w:trPr>
                <w:trHeight w:val="383"/>
              </w:trPr>
              <w:tc>
                <w:tcPr>
                  <w:tcW w:w="8165" w:type="dxa"/>
                  <w:gridSpan w:val="2"/>
                  <w:tcBorders>
                    <w:top w:val="thickThinMediumGap" w:sz="6" w:space="0" w:color="0C4DA1"/>
                  </w:tcBorders>
                </w:tcPr>
                <w:p w14:paraId="7C70F706" w14:textId="77777777" w:rsidR="00234693" w:rsidRPr="00E80B4A" w:rsidRDefault="00234693" w:rsidP="00E80B4A">
                  <w:pPr>
                    <w:pStyle w:val="TableParagraph"/>
                    <w:rPr>
                      <w:rFonts w:ascii="Times New Roman" w:hAnsi="Times New Roman" w:cs="Times New Roman"/>
                      <w:b/>
                      <w:sz w:val="32"/>
                      <w:lang w:val="en-US"/>
                    </w:rPr>
                  </w:pPr>
                  <w:r w:rsidRPr="00E80B4A">
                    <w:rPr>
                      <w:rFonts w:ascii="Times New Roman" w:hAnsi="Times New Roman" w:cs="Times New Roman"/>
                      <w:b/>
                      <w:color w:val="002060"/>
                      <w:sz w:val="32"/>
                    </w:rPr>
                    <w:t>Colegiul „Vasile Lovinescu” - Fălticeni</w:t>
                  </w:r>
                </w:p>
              </w:tc>
              <w:tc>
                <w:tcPr>
                  <w:tcW w:w="909" w:type="dxa"/>
                  <w:tcBorders>
                    <w:top w:val="thickThinMediumGap" w:sz="6" w:space="0" w:color="0C4DA1"/>
                  </w:tcBorders>
                </w:tcPr>
                <w:p w14:paraId="14C18955" w14:textId="77777777" w:rsidR="00234693" w:rsidRPr="00E80B4A" w:rsidRDefault="00234693" w:rsidP="00E80B4A">
                  <w:pPr>
                    <w:pStyle w:val="TableParagraph"/>
                    <w:ind w:left="0"/>
                    <w:rPr>
                      <w:rFonts w:ascii="Times New Roman" w:hAnsi="Times New Roman" w:cs="Times New Roman"/>
                      <w:sz w:val="24"/>
                    </w:rPr>
                  </w:pPr>
                </w:p>
              </w:tc>
            </w:tr>
          </w:tbl>
          <w:p w14:paraId="21DA95A9" w14:textId="77777777" w:rsidR="0072345A" w:rsidRPr="00E80B4A" w:rsidRDefault="0072345A" w:rsidP="00E80B4A">
            <w:pPr>
              <w:pStyle w:val="TableParagraph"/>
              <w:rPr>
                <w:rFonts w:ascii="Times New Roman" w:hAnsi="Times New Roman" w:cs="Times New Roman"/>
                <w:sz w:val="20"/>
              </w:rPr>
            </w:pPr>
          </w:p>
        </w:tc>
        <w:tc>
          <w:tcPr>
            <w:tcW w:w="909" w:type="dxa"/>
          </w:tcPr>
          <w:p w14:paraId="59AC3535" w14:textId="77777777" w:rsidR="0072345A" w:rsidRPr="00E80B4A" w:rsidRDefault="0072345A" w:rsidP="00E80B4A">
            <w:pPr>
              <w:pStyle w:val="TableParagraph"/>
              <w:ind w:right="-29"/>
              <w:rPr>
                <w:rFonts w:ascii="Times New Roman" w:hAnsi="Times New Roman" w:cs="Times New Roman"/>
                <w:sz w:val="20"/>
              </w:rPr>
            </w:pPr>
          </w:p>
        </w:tc>
      </w:tr>
    </w:tbl>
    <w:p w14:paraId="1EC61E81" w14:textId="77777777" w:rsidR="00234693" w:rsidRDefault="00234693" w:rsidP="00E80B4A">
      <w:pPr>
        <w:pStyle w:val="Titlu"/>
      </w:pPr>
    </w:p>
    <w:p w14:paraId="318CFF0D" w14:textId="5429E40C" w:rsidR="009B2419" w:rsidRDefault="009B2419" w:rsidP="009B2419">
      <w:pPr>
        <w:pStyle w:val="Corptext"/>
        <w:jc w:val="center"/>
        <w:rPr>
          <w:b/>
          <w:sz w:val="32"/>
        </w:rPr>
      </w:pPr>
      <w:r w:rsidRPr="00B112FD">
        <w:rPr>
          <w:b/>
          <w:sz w:val="32"/>
        </w:rPr>
        <w:t xml:space="preserve">Raport atelier dezvoltare personală – luna </w:t>
      </w:r>
      <w:r w:rsidR="002E5499">
        <w:rPr>
          <w:b/>
          <w:sz w:val="32"/>
        </w:rPr>
        <w:t>februarie</w:t>
      </w:r>
      <w:r w:rsidR="00A10528">
        <w:rPr>
          <w:b/>
          <w:sz w:val="32"/>
        </w:rPr>
        <w:t>, 202</w:t>
      </w:r>
      <w:r w:rsidR="009F7337">
        <w:rPr>
          <w:b/>
          <w:sz w:val="32"/>
        </w:rPr>
        <w:t>6</w:t>
      </w:r>
    </w:p>
    <w:p w14:paraId="09215471" w14:textId="77777777" w:rsidR="0072345A" w:rsidRPr="009B2419" w:rsidRDefault="00B5586E" w:rsidP="00E80B4A">
      <w:pPr>
        <w:pStyle w:val="Titlu"/>
        <w:ind w:left="0"/>
        <w:jc w:val="center"/>
        <w:rPr>
          <w:sz w:val="24"/>
          <w:szCs w:val="24"/>
        </w:rPr>
      </w:pPr>
      <w:r w:rsidRPr="009B2419">
        <w:rPr>
          <w:sz w:val="24"/>
          <w:szCs w:val="24"/>
        </w:rPr>
        <w:t>Promovarea</w:t>
      </w:r>
      <w:r w:rsidRPr="009B2419">
        <w:rPr>
          <w:spacing w:val="-11"/>
          <w:sz w:val="24"/>
          <w:szCs w:val="24"/>
        </w:rPr>
        <w:t xml:space="preserve"> </w:t>
      </w:r>
      <w:r w:rsidRPr="009B2419">
        <w:rPr>
          <w:sz w:val="24"/>
          <w:szCs w:val="24"/>
        </w:rPr>
        <w:t>Egalității</w:t>
      </w:r>
      <w:r w:rsidRPr="009B2419">
        <w:rPr>
          <w:spacing w:val="-13"/>
          <w:sz w:val="24"/>
          <w:szCs w:val="24"/>
        </w:rPr>
        <w:t xml:space="preserve"> </w:t>
      </w:r>
      <w:r w:rsidRPr="009B2419">
        <w:rPr>
          <w:sz w:val="24"/>
          <w:szCs w:val="24"/>
        </w:rPr>
        <w:t>de</w:t>
      </w:r>
      <w:r w:rsidRPr="009B2419">
        <w:rPr>
          <w:spacing w:val="-10"/>
          <w:sz w:val="24"/>
          <w:szCs w:val="24"/>
        </w:rPr>
        <w:t xml:space="preserve"> </w:t>
      </w:r>
      <w:r w:rsidRPr="009B2419">
        <w:rPr>
          <w:spacing w:val="-5"/>
          <w:sz w:val="24"/>
          <w:szCs w:val="24"/>
        </w:rPr>
        <w:t>Gen</w:t>
      </w:r>
    </w:p>
    <w:p w14:paraId="5EB127CC" w14:textId="77777777" w:rsidR="0072345A" w:rsidRPr="009B2419" w:rsidRDefault="00B5586E" w:rsidP="00E80B4A">
      <w:pPr>
        <w:jc w:val="center"/>
        <w:rPr>
          <w:b/>
          <w:sz w:val="24"/>
          <w:szCs w:val="24"/>
        </w:rPr>
      </w:pPr>
      <w:r w:rsidRPr="009B2419">
        <w:rPr>
          <w:b/>
          <w:sz w:val="24"/>
          <w:szCs w:val="24"/>
        </w:rPr>
        <w:t>în</w:t>
      </w:r>
      <w:r w:rsidRPr="009B2419">
        <w:rPr>
          <w:b/>
          <w:spacing w:val="-6"/>
          <w:sz w:val="24"/>
          <w:szCs w:val="24"/>
        </w:rPr>
        <w:t xml:space="preserve"> </w:t>
      </w:r>
      <w:r w:rsidRPr="009B2419">
        <w:rPr>
          <w:b/>
          <w:sz w:val="24"/>
          <w:szCs w:val="24"/>
        </w:rPr>
        <w:t>cadrul</w:t>
      </w:r>
      <w:r w:rsidRPr="009B2419">
        <w:rPr>
          <w:b/>
          <w:spacing w:val="-3"/>
          <w:sz w:val="24"/>
          <w:szCs w:val="24"/>
        </w:rPr>
        <w:t xml:space="preserve"> </w:t>
      </w:r>
      <w:r w:rsidRPr="009B2419">
        <w:rPr>
          <w:b/>
          <w:sz w:val="24"/>
          <w:szCs w:val="24"/>
        </w:rPr>
        <w:t>proiectului</w:t>
      </w:r>
      <w:r w:rsidRPr="009B2419">
        <w:rPr>
          <w:b/>
          <w:spacing w:val="-6"/>
          <w:sz w:val="24"/>
          <w:szCs w:val="24"/>
        </w:rPr>
        <w:t xml:space="preserve"> </w:t>
      </w:r>
      <w:r w:rsidRPr="009B2419">
        <w:rPr>
          <w:b/>
          <w:sz w:val="24"/>
          <w:szCs w:val="24"/>
        </w:rPr>
        <w:t>„</w:t>
      </w:r>
      <w:r w:rsidR="00E80B4A" w:rsidRPr="009B2419">
        <w:rPr>
          <w:b/>
          <w:sz w:val="24"/>
          <w:szCs w:val="24"/>
        </w:rPr>
        <w:t>Construind Viitorul cu Practica Elevilor: Proiect Educațional</w:t>
      </w:r>
      <w:r w:rsidRPr="009B2419">
        <w:rPr>
          <w:b/>
          <w:spacing w:val="-2"/>
          <w:sz w:val="24"/>
          <w:szCs w:val="24"/>
        </w:rPr>
        <w:t>”</w:t>
      </w:r>
    </w:p>
    <w:p w14:paraId="4D50B884" w14:textId="77777777" w:rsidR="0072345A" w:rsidRDefault="0072345A" w:rsidP="00E80B4A">
      <w:pPr>
        <w:pStyle w:val="Corptext"/>
        <w:rPr>
          <w:b/>
          <w:sz w:val="22"/>
        </w:rPr>
      </w:pPr>
    </w:p>
    <w:p w14:paraId="1FEB5638" w14:textId="77777777" w:rsidR="0074511A" w:rsidRDefault="0074511A" w:rsidP="00E80B4A">
      <w:pPr>
        <w:pStyle w:val="Corptext"/>
        <w:rPr>
          <w:b/>
          <w:sz w:val="22"/>
        </w:rPr>
      </w:pPr>
    </w:p>
    <w:p w14:paraId="04D60230" w14:textId="66DDC204" w:rsidR="002E5499" w:rsidRPr="00645ACF" w:rsidRDefault="002E5499" w:rsidP="002E5499">
      <w:pPr>
        <w:pStyle w:val="Corptext"/>
        <w:ind w:left="141" w:right="143" w:firstLine="707"/>
        <w:jc w:val="both"/>
      </w:pPr>
      <w:r w:rsidRPr="00645ACF">
        <w:t xml:space="preserve">Activitățile </w:t>
      </w:r>
      <w:r>
        <w:t>privind</w:t>
      </w:r>
      <w:r w:rsidRPr="00645ACF">
        <w:t xml:space="preserve"> promovarea </w:t>
      </w:r>
      <w:r w:rsidRPr="002E5499">
        <w:t xml:space="preserve">principiilor egalității de gen </w:t>
      </w:r>
      <w:r w:rsidRPr="00645ACF">
        <w:t xml:space="preserve">pentru elevii </w:t>
      </w:r>
      <w:r>
        <w:t>înscriși în proiect, februarie –</w:t>
      </w:r>
      <w:r w:rsidRPr="00645ACF">
        <w:t xml:space="preserve"> 2026</w:t>
      </w:r>
      <w:r>
        <w:t xml:space="preserve">, au presupus abordarea tematicii discutate la primele întâlniri cu grupele </w:t>
      </w:r>
      <w:r w:rsidR="0086074D">
        <w:t xml:space="preserve">(1-5) </w:t>
      </w:r>
      <w:r>
        <w:t>care au început în luna octombrie</w:t>
      </w:r>
      <w:r w:rsidR="00E436F9">
        <w:t>,</w:t>
      </w:r>
      <w:r w:rsidR="0086074D">
        <w:t xml:space="preserve"> </w:t>
      </w:r>
      <w:r>
        <w:t xml:space="preserve">cu grupa 6 </w:t>
      </w:r>
      <w:r w:rsidRPr="00A75E86">
        <w:t xml:space="preserve">și continuarea atelierelor de lucru pentru grupele </w:t>
      </w:r>
      <w:r>
        <w:t>1-5</w:t>
      </w:r>
      <w:r w:rsidRPr="00A75E86">
        <w:t>.</w:t>
      </w:r>
      <w:r w:rsidRPr="00645ACF">
        <w:t xml:space="preserve"> </w:t>
      </w:r>
    </w:p>
    <w:p w14:paraId="696771F6" w14:textId="0737916F" w:rsidR="005D6F62" w:rsidRPr="00E80B4A" w:rsidRDefault="002E5499" w:rsidP="005D6F62">
      <w:pPr>
        <w:pStyle w:val="Corptext"/>
        <w:ind w:left="141" w:right="143" w:firstLine="707"/>
        <w:jc w:val="both"/>
      </w:pPr>
      <w:r>
        <w:t xml:space="preserve">Pentru grupa </w:t>
      </w:r>
      <w:r w:rsidR="00E436F9">
        <w:t>6</w:t>
      </w:r>
      <w:r>
        <w:t xml:space="preserve"> </w:t>
      </w:r>
      <w:r w:rsidRPr="00EA074F">
        <w:t xml:space="preserve">s-au </w:t>
      </w:r>
      <w:r>
        <w:t xml:space="preserve">discutat aspecte referitoare la promovarea în mod activ a egalității de gen, ca principiu fundamental în educație și dezvoltare profesională, activitățile derulate având drept scop eliminarea prejudecăților legate de gen și promovarea participării echitabile, indiferent de gen. Ca urmare s-a adus la cunoștința elevilor </w:t>
      </w:r>
      <w:r w:rsidR="005D6F62">
        <w:t xml:space="preserve">din </w:t>
      </w:r>
      <w:r>
        <w:t xml:space="preserve">grupa </w:t>
      </w:r>
      <w:r w:rsidR="00E436F9">
        <w:t>6 că p</w:t>
      </w:r>
      <w:r>
        <w:t xml:space="preserve">roiectul promovează accesul egal la oportunități prin  eliminarea discriminărilor și </w:t>
      </w:r>
      <w:r w:rsidR="005D6F62">
        <w:t>au fost asigurați că există</w:t>
      </w:r>
      <w:r>
        <w:t xml:space="preserve"> aceleași șanse de a participa, de a se dezvolta și de a beneficia de rezultatele proiectului pentru oricare participant, indiferent de gen.</w:t>
      </w:r>
      <w:r w:rsidR="005D6F62">
        <w:t xml:space="preserve"> </w:t>
      </w:r>
      <w:r w:rsidR="005D6F62" w:rsidRPr="00E80B4A">
        <w:t>Materialele</w:t>
      </w:r>
      <w:r w:rsidR="005D6F62" w:rsidRPr="00E80B4A">
        <w:rPr>
          <w:spacing w:val="-15"/>
        </w:rPr>
        <w:t xml:space="preserve"> </w:t>
      </w:r>
      <w:r w:rsidR="005D6F62" w:rsidRPr="00E80B4A">
        <w:t>educaționale</w:t>
      </w:r>
      <w:r w:rsidR="005D6F62" w:rsidRPr="00E80B4A">
        <w:rPr>
          <w:spacing w:val="-15"/>
        </w:rPr>
        <w:t xml:space="preserve"> </w:t>
      </w:r>
      <w:r w:rsidR="005D6F62" w:rsidRPr="00E80B4A">
        <w:t>distribuite</w:t>
      </w:r>
      <w:r w:rsidR="005D6F62" w:rsidRPr="00E80B4A">
        <w:rPr>
          <w:spacing w:val="-15"/>
        </w:rPr>
        <w:t xml:space="preserve"> </w:t>
      </w:r>
      <w:r w:rsidR="005D6F62">
        <w:rPr>
          <w:spacing w:val="-15"/>
        </w:rPr>
        <w:t xml:space="preserve">în cadrul activității </w:t>
      </w:r>
      <w:r w:rsidR="005D6F62" w:rsidRPr="00E80B4A">
        <w:t>au</w:t>
      </w:r>
      <w:r w:rsidR="005D6F62" w:rsidRPr="00E80B4A">
        <w:rPr>
          <w:spacing w:val="-15"/>
        </w:rPr>
        <w:t xml:space="preserve"> </w:t>
      </w:r>
      <w:r w:rsidR="005D6F62" w:rsidRPr="00E80B4A">
        <w:t>fost</w:t>
      </w:r>
      <w:r w:rsidR="005D6F62" w:rsidRPr="00E80B4A">
        <w:rPr>
          <w:spacing w:val="-15"/>
        </w:rPr>
        <w:t xml:space="preserve"> </w:t>
      </w:r>
      <w:r w:rsidR="005D6F62" w:rsidRPr="00E80B4A">
        <w:t>realizate</w:t>
      </w:r>
      <w:r w:rsidR="005D6F62" w:rsidRPr="00E80B4A">
        <w:rPr>
          <w:spacing w:val="-15"/>
        </w:rPr>
        <w:t xml:space="preserve"> </w:t>
      </w:r>
      <w:r w:rsidR="005D6F62">
        <w:t>astfel încât să reflecte</w:t>
      </w:r>
      <w:r w:rsidR="005D6F62" w:rsidRPr="00E80B4A">
        <w:t xml:space="preserve"> diversitatea și participarea echilibrată a ambelor genuri, contribuind la formarea unei culturi școlare bazate pe respect și echitate.</w:t>
      </w:r>
      <w:r w:rsidR="005D6F62">
        <w:t xml:space="preserve"> </w:t>
      </w:r>
      <w:r w:rsidR="005D6F62" w:rsidRPr="005D6F62">
        <w:t xml:space="preserve">Tutorii și cadrele didactice implicate în </w:t>
      </w:r>
      <w:r w:rsidR="005D6F62">
        <w:t xml:space="preserve">activitățile acestei grupe </w:t>
      </w:r>
      <w:r w:rsidR="005D6F62" w:rsidRPr="005D6F62">
        <w:t>au integrat în sesiunile de formare activități menite să ajute elevii să înțeleagă importanța egalității de gen și impactul stereotipurilor în dezvoltarea profesională. Elevii au fost susținuți să ia decizii informate și să- și urmeze pasiunile, fără teamă de judecată sau excludere.</w:t>
      </w:r>
    </w:p>
    <w:p w14:paraId="291DF484" w14:textId="77777777" w:rsidR="00544FCA" w:rsidRDefault="00544FCA" w:rsidP="004D0E80">
      <w:pPr>
        <w:pStyle w:val="Corptext"/>
        <w:ind w:left="141" w:right="143" w:firstLine="707"/>
        <w:jc w:val="both"/>
      </w:pPr>
    </w:p>
    <w:p w14:paraId="32066969" w14:textId="6C663C23" w:rsidR="004D0E80" w:rsidRDefault="004D0E80" w:rsidP="004D0E80">
      <w:pPr>
        <w:pStyle w:val="Corptext"/>
        <w:ind w:left="141" w:right="143" w:firstLine="707"/>
        <w:jc w:val="both"/>
      </w:pPr>
      <w:r w:rsidRPr="00421D89">
        <w:t>Grupele</w:t>
      </w:r>
      <w:r>
        <w:t xml:space="preserve"> 1-5,</w:t>
      </w:r>
      <w:r w:rsidRPr="00421D89">
        <w:t xml:space="preserve"> implicate inițial în proiect au continuat </w:t>
      </w:r>
      <w:r>
        <w:t>sesiunile</w:t>
      </w:r>
      <w:r w:rsidRPr="00421D89">
        <w:t xml:space="preserve"> de promovare a </w:t>
      </w:r>
      <w:r>
        <w:t xml:space="preserve">principiilor </w:t>
      </w:r>
      <w:r w:rsidRPr="004D0E80">
        <w:t>egalității de gen</w:t>
      </w:r>
      <w:r>
        <w:t xml:space="preserve"> prin participarea la </w:t>
      </w:r>
      <w:r w:rsidR="009A39CD">
        <w:t>trei</w:t>
      </w:r>
      <w:r>
        <w:t xml:space="preserve"> activități în cadrul atelierelor de lucru:</w:t>
      </w:r>
    </w:p>
    <w:p w14:paraId="3B9EA893" w14:textId="47F3BB53" w:rsidR="007A1959" w:rsidRPr="007A1959" w:rsidRDefault="004D0E80" w:rsidP="007A1959">
      <w:pPr>
        <w:pStyle w:val="Corptext"/>
        <w:ind w:left="141" w:right="143" w:firstLine="707"/>
        <w:jc w:val="both"/>
        <w:rPr>
          <w:b/>
          <w:bCs/>
        </w:rPr>
      </w:pPr>
      <w:r w:rsidRPr="007A1959">
        <w:rPr>
          <w:b/>
          <w:bCs/>
        </w:rPr>
        <w:t xml:space="preserve"> </w:t>
      </w:r>
      <w:r w:rsidR="007A1959" w:rsidRPr="007A1959">
        <w:rPr>
          <w:b/>
          <w:bCs/>
        </w:rPr>
        <w:t>1. Hartă Mentală: „</w:t>
      </w:r>
      <w:r w:rsidR="007A1959" w:rsidRPr="007A1959">
        <w:rPr>
          <w:b/>
          <w:bCs/>
          <w:i/>
          <w:iCs/>
        </w:rPr>
        <w:t>Talentul nu are Gen</w:t>
      </w:r>
      <w:r w:rsidR="007A1959" w:rsidRPr="007A1959">
        <w:rPr>
          <w:b/>
          <w:bCs/>
        </w:rPr>
        <w:t>”</w:t>
      </w:r>
    </w:p>
    <w:p w14:paraId="50B5E160" w14:textId="5D1D8EBD" w:rsidR="007A1959" w:rsidRPr="007A1959" w:rsidRDefault="003538A6" w:rsidP="007A1959">
      <w:pPr>
        <w:pStyle w:val="Corptext"/>
        <w:ind w:left="141" w:right="143" w:firstLine="707"/>
        <w:jc w:val="both"/>
      </w:pPr>
      <w:r>
        <w:t>A</w:t>
      </w:r>
      <w:r w:rsidR="007A1959" w:rsidRPr="007A1959">
        <w:t>ctivitate</w:t>
      </w:r>
      <w:r>
        <w:t>a</w:t>
      </w:r>
      <w:r w:rsidR="007A1959" w:rsidRPr="007A1959">
        <w:t xml:space="preserve"> </w:t>
      </w:r>
      <w:r>
        <w:t>s-a concentrat</w:t>
      </w:r>
      <w:r w:rsidR="007A1959" w:rsidRPr="007A1959">
        <w:t xml:space="preserve"> pe identificarea abilităților personale, detaș</w:t>
      </w:r>
      <w:r w:rsidR="009A39CD">
        <w:t>a</w:t>
      </w:r>
      <w:r>
        <w:t>t</w:t>
      </w:r>
      <w:r w:rsidR="007A1959" w:rsidRPr="007A1959">
        <w:t>e de așteptările sociale tradiționale.</w:t>
      </w:r>
    </w:p>
    <w:p w14:paraId="148A01B2" w14:textId="77777777" w:rsidR="003538A6" w:rsidRDefault="007A1959" w:rsidP="007A1959">
      <w:pPr>
        <w:pStyle w:val="Corptext"/>
        <w:ind w:left="141" w:right="143" w:firstLine="707"/>
        <w:jc w:val="both"/>
      </w:pPr>
      <w:r w:rsidRPr="007A1959">
        <w:t xml:space="preserve">Fiecare elev </w:t>
      </w:r>
      <w:r w:rsidR="003538A6">
        <w:t>a primit</w:t>
      </w:r>
      <w:r w:rsidRPr="007A1959">
        <w:t xml:space="preserve"> o fișă cu un contur neutru de siluetă. </w:t>
      </w:r>
    </w:p>
    <w:p w14:paraId="023C060A" w14:textId="03551151" w:rsidR="007A1959" w:rsidRPr="007A1959" w:rsidRDefault="007A1959" w:rsidP="007A1959">
      <w:pPr>
        <w:pStyle w:val="Corptext"/>
        <w:ind w:left="141" w:right="143" w:firstLine="707"/>
        <w:jc w:val="both"/>
      </w:pPr>
      <w:r w:rsidRPr="007A1959">
        <w:t xml:space="preserve">În interiorul siluetei, </w:t>
      </w:r>
      <w:r w:rsidR="003538A6">
        <w:t>elevii au avut de</w:t>
      </w:r>
      <w:r w:rsidRPr="007A1959">
        <w:t xml:space="preserve"> scri</w:t>
      </w:r>
      <w:r w:rsidR="003538A6">
        <w:t>s</w:t>
      </w:r>
      <w:r w:rsidRPr="007A1959">
        <w:t xml:space="preserve"> </w:t>
      </w:r>
      <w:r w:rsidR="003538A6">
        <w:t>trei</w:t>
      </w:r>
      <w:r w:rsidRPr="007A1959">
        <w:t xml:space="preserve"> calități native (</w:t>
      </w:r>
      <w:r w:rsidRPr="003538A6">
        <w:rPr>
          <w:i/>
          <w:iCs/>
        </w:rPr>
        <w:t>ex: empatie, logică, forță fizică</w:t>
      </w:r>
      <w:r w:rsidRPr="007A1959">
        <w:t xml:space="preserve">) și </w:t>
      </w:r>
      <w:r w:rsidR="003538A6">
        <w:t>trei</w:t>
      </w:r>
      <w:r w:rsidRPr="007A1959">
        <w:t xml:space="preserve"> pasiuni.</w:t>
      </w:r>
    </w:p>
    <w:p w14:paraId="783ED760" w14:textId="209D3EE7" w:rsidR="007A1959" w:rsidRPr="007A1959" w:rsidRDefault="007A1959" w:rsidP="007A1959">
      <w:pPr>
        <w:pStyle w:val="Corptext"/>
        <w:ind w:left="141" w:right="143" w:firstLine="707"/>
        <w:jc w:val="both"/>
      </w:pPr>
      <w:r w:rsidRPr="007A1959">
        <w:t xml:space="preserve">Discuția de grup </w:t>
      </w:r>
      <w:r w:rsidR="003538A6">
        <w:t>a</w:t>
      </w:r>
      <w:r w:rsidRPr="007A1959">
        <w:t xml:space="preserve"> evidenția</w:t>
      </w:r>
      <w:r w:rsidR="003538A6">
        <w:t>t</w:t>
      </w:r>
      <w:r w:rsidRPr="007A1959">
        <w:t xml:space="preserve"> faptul că trăsăturile din interiorul siluetei (esența lor) nu sunt determinate de gen, iar limitările exterioare sunt doar bariere artificiale în calea succesului lor profesional.</w:t>
      </w:r>
    </w:p>
    <w:p w14:paraId="0B6AAB53" w14:textId="77777777" w:rsidR="0058172D" w:rsidRDefault="0058172D" w:rsidP="007A1959">
      <w:pPr>
        <w:pStyle w:val="Corptext"/>
        <w:ind w:left="141" w:right="143" w:firstLine="707"/>
        <w:jc w:val="both"/>
        <w:rPr>
          <w:b/>
          <w:bCs/>
        </w:rPr>
      </w:pPr>
    </w:p>
    <w:p w14:paraId="3C36B20B" w14:textId="6F50D790" w:rsidR="007A1959" w:rsidRPr="007A1959" w:rsidRDefault="007A1959" w:rsidP="007A1959">
      <w:pPr>
        <w:pStyle w:val="Corptext"/>
        <w:ind w:left="141" w:right="143" w:firstLine="707"/>
        <w:jc w:val="both"/>
        <w:rPr>
          <w:b/>
          <w:bCs/>
        </w:rPr>
      </w:pPr>
      <w:r w:rsidRPr="007A1959">
        <w:rPr>
          <w:b/>
          <w:bCs/>
        </w:rPr>
        <w:t>2. Joc de Rol: „</w:t>
      </w:r>
      <w:r w:rsidRPr="007A1959">
        <w:rPr>
          <w:b/>
          <w:bCs/>
          <w:i/>
          <w:iCs/>
        </w:rPr>
        <w:t>Interviul de Angajare în Oglindă</w:t>
      </w:r>
      <w:r w:rsidRPr="007A1959">
        <w:rPr>
          <w:b/>
          <w:bCs/>
        </w:rPr>
        <w:t>”</w:t>
      </w:r>
    </w:p>
    <w:p w14:paraId="1959300F" w14:textId="77777777" w:rsidR="007A1959" w:rsidRPr="007A1959" w:rsidRDefault="007A1959" w:rsidP="007A1959">
      <w:pPr>
        <w:pStyle w:val="Corptext"/>
        <w:ind w:left="141" w:right="143" w:firstLine="707"/>
        <w:jc w:val="both"/>
      </w:pPr>
      <w:r w:rsidRPr="007A1959">
        <w:t>O activitate practică menită să dezvolte încrederea în sine și să identifice prejudecățile inconștiente.</w:t>
      </w:r>
    </w:p>
    <w:p w14:paraId="34F4047B" w14:textId="77777777" w:rsidR="003538A6" w:rsidRDefault="007A1959" w:rsidP="007A1959">
      <w:pPr>
        <w:pStyle w:val="Corptext"/>
        <w:ind w:left="141" w:right="143" w:firstLine="707"/>
        <w:jc w:val="both"/>
      </w:pPr>
      <w:r w:rsidRPr="007A1959">
        <w:t xml:space="preserve">Elevii </w:t>
      </w:r>
      <w:r w:rsidR="003538A6">
        <w:t>au lucrat</w:t>
      </w:r>
      <w:r w:rsidRPr="007A1959">
        <w:t xml:space="preserve"> în perechi mixte. </w:t>
      </w:r>
    </w:p>
    <w:p w14:paraId="3637B8D3" w14:textId="584FA4DF" w:rsidR="007A1959" w:rsidRPr="007A1959" w:rsidRDefault="003538A6" w:rsidP="007A1959">
      <w:pPr>
        <w:pStyle w:val="Corptext"/>
        <w:ind w:left="141" w:right="143" w:firstLine="707"/>
        <w:jc w:val="both"/>
      </w:pPr>
      <w:r>
        <w:t>Un elev a jucat</w:t>
      </w:r>
      <w:r w:rsidR="007A1959" w:rsidRPr="007A1959">
        <w:t xml:space="preserve"> rolul angajatorului, </w:t>
      </w:r>
      <w:r>
        <w:t>un alt elev</w:t>
      </w:r>
      <w:r w:rsidR="007A1959" w:rsidRPr="007A1959">
        <w:t xml:space="preserve"> al candidatului pentru o poziție „atipică” (</w:t>
      </w:r>
      <w:r w:rsidR="007A1959" w:rsidRPr="003538A6">
        <w:rPr>
          <w:i/>
          <w:iCs/>
        </w:rPr>
        <w:t>ex: o fată aplică pentru inginerie mecanică, un băiat pentru asistent social sau educator</w:t>
      </w:r>
      <w:r w:rsidR="007A1959" w:rsidRPr="007A1959">
        <w:t>).</w:t>
      </w:r>
    </w:p>
    <w:p w14:paraId="0DDA640A" w14:textId="3B9831AA" w:rsidR="007A1959" w:rsidRPr="007A1959" w:rsidRDefault="007A1959" w:rsidP="007A1959">
      <w:pPr>
        <w:pStyle w:val="Corptext"/>
        <w:ind w:left="141" w:right="143" w:firstLine="707"/>
        <w:jc w:val="both"/>
      </w:pPr>
      <w:r w:rsidRPr="007A1959">
        <w:lastRenderedPageBreak/>
        <w:t xml:space="preserve">„Angajatorul” </w:t>
      </w:r>
      <w:r w:rsidR="003A3B3D">
        <w:t>a fost nevoit</w:t>
      </w:r>
      <w:r w:rsidRPr="007A1959">
        <w:t xml:space="preserve"> să observe dacă pune întrebări diferite în funcție de gen, iar „candidatul” </w:t>
      </w:r>
      <w:r w:rsidR="003A3B3D">
        <w:t>a trebuit</w:t>
      </w:r>
      <w:r w:rsidRPr="007A1959">
        <w:t xml:space="preserve"> să își susțină competențele fără a se scuza pentru alegerea făcută.</w:t>
      </w:r>
    </w:p>
    <w:p w14:paraId="51F22A3C" w14:textId="59D63AD8" w:rsidR="004D0E80" w:rsidRPr="007A1959" w:rsidRDefault="003A3B3D" w:rsidP="007A1959">
      <w:pPr>
        <w:pStyle w:val="Corptext"/>
        <w:ind w:left="141" w:right="143" w:firstLine="707"/>
        <w:jc w:val="both"/>
      </w:pPr>
      <w:r>
        <w:t>Scopul activității a presupus</w:t>
      </w:r>
      <w:r w:rsidR="007A1959" w:rsidRPr="007A1959">
        <w:t xml:space="preserve"> </w:t>
      </w:r>
      <w:r>
        <w:t>c</w:t>
      </w:r>
      <w:r w:rsidR="007A1959" w:rsidRPr="007A1959">
        <w:t xml:space="preserve">onștientizarea modului în care </w:t>
      </w:r>
      <w:r>
        <w:t>sunt percepute</w:t>
      </w:r>
      <w:r w:rsidR="007A1959" w:rsidRPr="007A1959">
        <w:t xml:space="preserve"> competențele și pregătirea pentru o piață a muncii unde contează ce știi să faci, nu cine ești.</w:t>
      </w:r>
    </w:p>
    <w:p w14:paraId="78448581" w14:textId="77777777" w:rsidR="0058172D" w:rsidRDefault="0058172D" w:rsidP="006D2E8A">
      <w:pPr>
        <w:pStyle w:val="Corptext"/>
        <w:ind w:left="141" w:right="143" w:firstLine="707"/>
        <w:jc w:val="both"/>
        <w:rPr>
          <w:b/>
          <w:bCs/>
        </w:rPr>
      </w:pPr>
    </w:p>
    <w:p w14:paraId="5284F014" w14:textId="163B33F2" w:rsidR="006D2E8A" w:rsidRPr="006D2E8A" w:rsidRDefault="006D2E8A" w:rsidP="006D2E8A">
      <w:pPr>
        <w:pStyle w:val="Corptext"/>
        <w:ind w:left="141" w:right="143" w:firstLine="707"/>
        <w:jc w:val="both"/>
        <w:rPr>
          <w:b/>
          <w:bCs/>
        </w:rPr>
      </w:pPr>
      <w:r w:rsidRPr="006D2E8A">
        <w:rPr>
          <w:b/>
          <w:bCs/>
        </w:rPr>
        <w:t xml:space="preserve">3. </w:t>
      </w:r>
      <w:proofErr w:type="spellStart"/>
      <w:r w:rsidRPr="006D2E8A">
        <w:rPr>
          <w:b/>
          <w:bCs/>
        </w:rPr>
        <w:t>Timeline-ul</w:t>
      </w:r>
      <w:proofErr w:type="spellEnd"/>
      <w:r w:rsidRPr="006D2E8A">
        <w:rPr>
          <w:b/>
          <w:bCs/>
        </w:rPr>
        <w:t xml:space="preserve"> Viitorului: „</w:t>
      </w:r>
      <w:r w:rsidRPr="006D2E8A">
        <w:rPr>
          <w:b/>
          <w:bCs/>
          <w:i/>
          <w:iCs/>
        </w:rPr>
        <w:t>Eu, peste 10 ani</w:t>
      </w:r>
      <w:r w:rsidRPr="006D2E8A">
        <w:rPr>
          <w:b/>
          <w:bCs/>
        </w:rPr>
        <w:t>”</w:t>
      </w:r>
    </w:p>
    <w:p w14:paraId="50FB0B6D" w14:textId="77777777" w:rsidR="006D2E8A" w:rsidRPr="006D2E8A" w:rsidRDefault="006D2E8A" w:rsidP="0058172D">
      <w:pPr>
        <w:pStyle w:val="Corptext"/>
        <w:ind w:left="141" w:right="143" w:firstLine="707"/>
        <w:jc w:val="both"/>
      </w:pPr>
      <w:r w:rsidRPr="006D2E8A">
        <w:t>O activitate de vizualizare creativă care proiectează echilibrul dintre viața personală și cea profesională.</w:t>
      </w:r>
    </w:p>
    <w:p w14:paraId="49F23E79" w14:textId="60A7F240" w:rsidR="006D2E8A" w:rsidRPr="006D2E8A" w:rsidRDefault="006D2E8A" w:rsidP="0058172D">
      <w:pPr>
        <w:pStyle w:val="Corptext"/>
        <w:ind w:left="141" w:right="143" w:firstLine="707"/>
        <w:jc w:val="both"/>
      </w:pPr>
      <w:r w:rsidRPr="006D2E8A">
        <w:t xml:space="preserve">Elevii </w:t>
      </w:r>
      <w:r w:rsidR="0058172D">
        <w:t>au desenat</w:t>
      </w:r>
      <w:r w:rsidRPr="006D2E8A">
        <w:t xml:space="preserve"> o linie a timpului care începe din prezent și ajunge peste un deceniu. </w:t>
      </w:r>
      <w:r w:rsidR="0058172D">
        <w:t>De-a lungul liniei elevii au fost atenționați să expună</w:t>
      </w:r>
      <w:r w:rsidRPr="006D2E8A">
        <w:t xml:space="preserve"> atât realizări profesionale (funcția dorită, un proiect reușit), cât și detalii de viață personală (hobby-uri, responsabilități casnice).</w:t>
      </w:r>
    </w:p>
    <w:p w14:paraId="35B0376A" w14:textId="316CF588" w:rsidR="006D2E8A" w:rsidRPr="006D2E8A" w:rsidRDefault="0058172D" w:rsidP="0058172D">
      <w:pPr>
        <w:pStyle w:val="Corptext"/>
        <w:ind w:left="141" w:right="143" w:firstLine="707"/>
        <w:jc w:val="both"/>
      </w:pPr>
      <w:r>
        <w:t>I</w:t>
      </w:r>
      <w:r w:rsidR="006D2E8A" w:rsidRPr="006D2E8A">
        <w:t>de</w:t>
      </w:r>
      <w:r>
        <w:t>ea promovată în cadrul acestei activități a fost aceea</w:t>
      </w:r>
      <w:r w:rsidR="006D2E8A" w:rsidRPr="006D2E8A">
        <w:t xml:space="preserve"> că un viitor împlinit presupune libertatea de a alege orice carieră și dreptul de a împărți egal sarcinile, indiferent de gen.</w:t>
      </w:r>
      <w:r>
        <w:t xml:space="preserve"> </w:t>
      </w:r>
    </w:p>
    <w:p w14:paraId="0ED424D0" w14:textId="524B25C6" w:rsidR="0074511A" w:rsidRPr="007A1959" w:rsidRDefault="0074511A" w:rsidP="006D2E8A">
      <w:pPr>
        <w:pStyle w:val="Corptext"/>
        <w:rPr>
          <w:sz w:val="22"/>
        </w:rPr>
      </w:pPr>
    </w:p>
    <w:p w14:paraId="50E839E8" w14:textId="77777777" w:rsidR="0072345A" w:rsidRPr="00CF1C5F" w:rsidRDefault="00B5586E" w:rsidP="00CA6BB5">
      <w:pPr>
        <w:ind w:left="141" w:firstLine="579"/>
        <w:rPr>
          <w:b/>
          <w:sz w:val="28"/>
        </w:rPr>
      </w:pPr>
      <w:r w:rsidRPr="00CF1C5F">
        <w:rPr>
          <w:b/>
          <w:spacing w:val="-2"/>
          <w:sz w:val="28"/>
        </w:rPr>
        <w:t>Concluzie</w:t>
      </w:r>
    </w:p>
    <w:p w14:paraId="000FDD80" w14:textId="1356FC69" w:rsidR="0058172D" w:rsidRDefault="0058172D" w:rsidP="0058172D">
      <w:pPr>
        <w:pStyle w:val="Corptext"/>
        <w:ind w:right="138" w:firstLine="720"/>
        <w:jc w:val="both"/>
      </w:pPr>
      <w:r>
        <w:t>Concluzia acestui atelier de lucru indică trei aspecte fundamentale:</w:t>
      </w:r>
    </w:p>
    <w:p w14:paraId="54D660FF" w14:textId="5A4C6993" w:rsidR="0058172D" w:rsidRDefault="0058172D" w:rsidP="0058172D">
      <w:pPr>
        <w:pStyle w:val="Corptext"/>
        <w:numPr>
          <w:ilvl w:val="0"/>
          <w:numId w:val="5"/>
        </w:numPr>
        <w:ind w:left="720" w:right="138" w:hanging="540"/>
        <w:jc w:val="both"/>
      </w:pPr>
      <w:r>
        <w:t>recunoașterea faptului că talentul și pasiunea nu au gen.</w:t>
      </w:r>
    </w:p>
    <w:p w14:paraId="1276C769" w14:textId="764FADD1" w:rsidR="0058172D" w:rsidRDefault="0058172D" w:rsidP="0058172D">
      <w:pPr>
        <w:pStyle w:val="Corptext"/>
        <w:numPr>
          <w:ilvl w:val="0"/>
          <w:numId w:val="5"/>
        </w:numPr>
        <w:ind w:left="720" w:right="138" w:hanging="540"/>
        <w:jc w:val="both"/>
      </w:pPr>
      <w:r>
        <w:t>pregătirea tinerilor pentru o piață a muncii modernă, bazată pe meritocrație și colaborare echitabilă.</w:t>
      </w:r>
    </w:p>
    <w:p w14:paraId="01A8E915" w14:textId="03C2CEFC" w:rsidR="0058172D" w:rsidRPr="00E80B4A" w:rsidRDefault="0058172D" w:rsidP="0058172D">
      <w:pPr>
        <w:pStyle w:val="Corptext"/>
        <w:numPr>
          <w:ilvl w:val="0"/>
          <w:numId w:val="5"/>
        </w:numPr>
        <w:ind w:left="720" w:right="138" w:hanging="540"/>
        <w:jc w:val="both"/>
      </w:pPr>
      <w:r>
        <w:t>elevii care își înțeleg valoarea dincolo de prejudecăți devin profesioniști mai încrezători și cetățeni capabili să construiască o societate mai justă.</w:t>
      </w:r>
    </w:p>
    <w:sectPr w:rsidR="0058172D" w:rsidRPr="00E80B4A" w:rsidSect="002C7EEC">
      <w:pgSz w:w="11910" w:h="16840"/>
      <w:pgMar w:top="880" w:right="1200" w:bottom="99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14EC"/>
    <w:multiLevelType w:val="hybridMultilevel"/>
    <w:tmpl w:val="53C29AC2"/>
    <w:lvl w:ilvl="0" w:tplc="7B201C4E">
      <w:start w:val="19"/>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5ADA2E59"/>
    <w:multiLevelType w:val="hybridMultilevel"/>
    <w:tmpl w:val="6BE80CF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64B95FE1"/>
    <w:multiLevelType w:val="hybridMultilevel"/>
    <w:tmpl w:val="2B06EEF2"/>
    <w:lvl w:ilvl="0" w:tplc="79424070">
      <w:numFmt w:val="bullet"/>
      <w:lvlText w:val=""/>
      <w:lvlJc w:val="left"/>
      <w:pPr>
        <w:ind w:left="861" w:hanging="360"/>
      </w:pPr>
      <w:rPr>
        <w:rFonts w:ascii="Symbol" w:eastAsia="Symbol" w:hAnsi="Symbol" w:cs="Symbol" w:hint="default"/>
        <w:b w:val="0"/>
        <w:bCs w:val="0"/>
        <w:i w:val="0"/>
        <w:iCs w:val="0"/>
        <w:spacing w:val="0"/>
        <w:w w:val="99"/>
        <w:sz w:val="20"/>
        <w:szCs w:val="20"/>
        <w:lang w:val="ro-RO" w:eastAsia="en-US" w:bidi="ar-SA"/>
      </w:rPr>
    </w:lvl>
    <w:lvl w:ilvl="1" w:tplc="9A4E48E0">
      <w:numFmt w:val="bullet"/>
      <w:lvlText w:val="•"/>
      <w:lvlJc w:val="left"/>
      <w:pPr>
        <w:ind w:left="1709" w:hanging="360"/>
      </w:pPr>
      <w:rPr>
        <w:rFonts w:hint="default"/>
        <w:lang w:val="ro-RO" w:eastAsia="en-US" w:bidi="ar-SA"/>
      </w:rPr>
    </w:lvl>
    <w:lvl w:ilvl="2" w:tplc="47A60FCE">
      <w:numFmt w:val="bullet"/>
      <w:lvlText w:val="•"/>
      <w:lvlJc w:val="left"/>
      <w:pPr>
        <w:ind w:left="2559" w:hanging="360"/>
      </w:pPr>
      <w:rPr>
        <w:rFonts w:hint="default"/>
        <w:lang w:val="ro-RO" w:eastAsia="en-US" w:bidi="ar-SA"/>
      </w:rPr>
    </w:lvl>
    <w:lvl w:ilvl="3" w:tplc="9072E718">
      <w:numFmt w:val="bullet"/>
      <w:lvlText w:val="•"/>
      <w:lvlJc w:val="left"/>
      <w:pPr>
        <w:ind w:left="3408" w:hanging="360"/>
      </w:pPr>
      <w:rPr>
        <w:rFonts w:hint="default"/>
        <w:lang w:val="ro-RO" w:eastAsia="en-US" w:bidi="ar-SA"/>
      </w:rPr>
    </w:lvl>
    <w:lvl w:ilvl="4" w:tplc="1440285C">
      <w:numFmt w:val="bullet"/>
      <w:lvlText w:val="•"/>
      <w:lvlJc w:val="left"/>
      <w:pPr>
        <w:ind w:left="4258" w:hanging="360"/>
      </w:pPr>
      <w:rPr>
        <w:rFonts w:hint="default"/>
        <w:lang w:val="ro-RO" w:eastAsia="en-US" w:bidi="ar-SA"/>
      </w:rPr>
    </w:lvl>
    <w:lvl w:ilvl="5" w:tplc="A0742AFE">
      <w:numFmt w:val="bullet"/>
      <w:lvlText w:val="•"/>
      <w:lvlJc w:val="left"/>
      <w:pPr>
        <w:ind w:left="5108" w:hanging="360"/>
      </w:pPr>
      <w:rPr>
        <w:rFonts w:hint="default"/>
        <w:lang w:val="ro-RO" w:eastAsia="en-US" w:bidi="ar-SA"/>
      </w:rPr>
    </w:lvl>
    <w:lvl w:ilvl="6" w:tplc="AF24A6BC">
      <w:numFmt w:val="bullet"/>
      <w:lvlText w:val="•"/>
      <w:lvlJc w:val="left"/>
      <w:pPr>
        <w:ind w:left="5957" w:hanging="360"/>
      </w:pPr>
      <w:rPr>
        <w:rFonts w:hint="default"/>
        <w:lang w:val="ro-RO" w:eastAsia="en-US" w:bidi="ar-SA"/>
      </w:rPr>
    </w:lvl>
    <w:lvl w:ilvl="7" w:tplc="1AD0F136">
      <w:numFmt w:val="bullet"/>
      <w:lvlText w:val="•"/>
      <w:lvlJc w:val="left"/>
      <w:pPr>
        <w:ind w:left="6807" w:hanging="360"/>
      </w:pPr>
      <w:rPr>
        <w:rFonts w:hint="default"/>
        <w:lang w:val="ro-RO" w:eastAsia="en-US" w:bidi="ar-SA"/>
      </w:rPr>
    </w:lvl>
    <w:lvl w:ilvl="8" w:tplc="641CE710">
      <w:numFmt w:val="bullet"/>
      <w:lvlText w:val="•"/>
      <w:lvlJc w:val="left"/>
      <w:pPr>
        <w:ind w:left="7657" w:hanging="360"/>
      </w:pPr>
      <w:rPr>
        <w:rFonts w:hint="default"/>
        <w:lang w:val="ro-RO" w:eastAsia="en-US" w:bidi="ar-SA"/>
      </w:rPr>
    </w:lvl>
  </w:abstractNum>
  <w:abstractNum w:abstractNumId="3" w15:restartNumberingAfterBreak="0">
    <w:nsid w:val="71050EDC"/>
    <w:multiLevelType w:val="hybridMultilevel"/>
    <w:tmpl w:val="72988D2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73C233FB"/>
    <w:multiLevelType w:val="multilevel"/>
    <w:tmpl w:val="A39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728281">
    <w:abstractNumId w:val="2"/>
  </w:num>
  <w:num w:numId="2" w16cid:durableId="1473211104">
    <w:abstractNumId w:val="0"/>
  </w:num>
  <w:num w:numId="3" w16cid:durableId="956450828">
    <w:abstractNumId w:val="1"/>
  </w:num>
  <w:num w:numId="4" w16cid:durableId="1409571301">
    <w:abstractNumId w:val="4"/>
  </w:num>
  <w:num w:numId="5" w16cid:durableId="209272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2345A"/>
    <w:rsid w:val="00007A4A"/>
    <w:rsid w:val="00037A4F"/>
    <w:rsid w:val="000B46B3"/>
    <w:rsid w:val="000D38C9"/>
    <w:rsid w:val="000D6EAE"/>
    <w:rsid w:val="00144BE9"/>
    <w:rsid w:val="001562C5"/>
    <w:rsid w:val="00197A98"/>
    <w:rsid w:val="001A1B86"/>
    <w:rsid w:val="001A2A06"/>
    <w:rsid w:val="001C3CC9"/>
    <w:rsid w:val="001F1BE7"/>
    <w:rsid w:val="001F3645"/>
    <w:rsid w:val="001F79C4"/>
    <w:rsid w:val="002158D9"/>
    <w:rsid w:val="00234693"/>
    <w:rsid w:val="002718C6"/>
    <w:rsid w:val="00295B00"/>
    <w:rsid w:val="002B6556"/>
    <w:rsid w:val="002C7EEC"/>
    <w:rsid w:val="002E5499"/>
    <w:rsid w:val="002F1DC1"/>
    <w:rsid w:val="0030369C"/>
    <w:rsid w:val="00314971"/>
    <w:rsid w:val="00335D0C"/>
    <w:rsid w:val="00341BF0"/>
    <w:rsid w:val="00345707"/>
    <w:rsid w:val="003538A6"/>
    <w:rsid w:val="00371D44"/>
    <w:rsid w:val="003A0895"/>
    <w:rsid w:val="003A1FE7"/>
    <w:rsid w:val="003A3B3D"/>
    <w:rsid w:val="003F374B"/>
    <w:rsid w:val="0041793C"/>
    <w:rsid w:val="00432AA2"/>
    <w:rsid w:val="00485A37"/>
    <w:rsid w:val="004A0189"/>
    <w:rsid w:val="004B3520"/>
    <w:rsid w:val="004C595D"/>
    <w:rsid w:val="004D0E80"/>
    <w:rsid w:val="004D723D"/>
    <w:rsid w:val="00544FCA"/>
    <w:rsid w:val="0058172D"/>
    <w:rsid w:val="005D6F62"/>
    <w:rsid w:val="005F65E3"/>
    <w:rsid w:val="00601DE0"/>
    <w:rsid w:val="00605DB5"/>
    <w:rsid w:val="006454F5"/>
    <w:rsid w:val="006919FA"/>
    <w:rsid w:val="006A0568"/>
    <w:rsid w:val="006C0BDA"/>
    <w:rsid w:val="006D2E8A"/>
    <w:rsid w:val="006E2544"/>
    <w:rsid w:val="006E6CE9"/>
    <w:rsid w:val="006F69AB"/>
    <w:rsid w:val="00710FAF"/>
    <w:rsid w:val="0072345A"/>
    <w:rsid w:val="007377B9"/>
    <w:rsid w:val="0074511A"/>
    <w:rsid w:val="007670C9"/>
    <w:rsid w:val="007723FE"/>
    <w:rsid w:val="00773CC7"/>
    <w:rsid w:val="00776FFE"/>
    <w:rsid w:val="007908C3"/>
    <w:rsid w:val="007A1959"/>
    <w:rsid w:val="007A1C58"/>
    <w:rsid w:val="007C22FC"/>
    <w:rsid w:val="007D28BF"/>
    <w:rsid w:val="007D3ACF"/>
    <w:rsid w:val="007E5FB5"/>
    <w:rsid w:val="00826E54"/>
    <w:rsid w:val="00851AD6"/>
    <w:rsid w:val="0086074D"/>
    <w:rsid w:val="0090295A"/>
    <w:rsid w:val="009103F6"/>
    <w:rsid w:val="00916852"/>
    <w:rsid w:val="0098118E"/>
    <w:rsid w:val="0099562B"/>
    <w:rsid w:val="009A39CD"/>
    <w:rsid w:val="009B2419"/>
    <w:rsid w:val="009F7337"/>
    <w:rsid w:val="00A058F3"/>
    <w:rsid w:val="00A10528"/>
    <w:rsid w:val="00AB6543"/>
    <w:rsid w:val="00AC7C61"/>
    <w:rsid w:val="00AD620D"/>
    <w:rsid w:val="00AF49EB"/>
    <w:rsid w:val="00B205BE"/>
    <w:rsid w:val="00B205D0"/>
    <w:rsid w:val="00B20DFC"/>
    <w:rsid w:val="00B34369"/>
    <w:rsid w:val="00B5586E"/>
    <w:rsid w:val="00B75C2B"/>
    <w:rsid w:val="00BC2A0F"/>
    <w:rsid w:val="00BD5734"/>
    <w:rsid w:val="00BF3E9B"/>
    <w:rsid w:val="00C74E3C"/>
    <w:rsid w:val="00CA1688"/>
    <w:rsid w:val="00CA6BB5"/>
    <w:rsid w:val="00CE3802"/>
    <w:rsid w:val="00CF1C5F"/>
    <w:rsid w:val="00D233C1"/>
    <w:rsid w:val="00D737A6"/>
    <w:rsid w:val="00DB09B7"/>
    <w:rsid w:val="00DC606D"/>
    <w:rsid w:val="00DE3185"/>
    <w:rsid w:val="00DE38D5"/>
    <w:rsid w:val="00DF5B02"/>
    <w:rsid w:val="00E436F9"/>
    <w:rsid w:val="00E46913"/>
    <w:rsid w:val="00E72B21"/>
    <w:rsid w:val="00E80B4A"/>
    <w:rsid w:val="00E9240D"/>
    <w:rsid w:val="00EA3BDA"/>
    <w:rsid w:val="00EA6AF2"/>
    <w:rsid w:val="00ED00C5"/>
    <w:rsid w:val="00ED3D66"/>
    <w:rsid w:val="00F17C32"/>
    <w:rsid w:val="00F3330A"/>
    <w:rsid w:val="00FB54BC"/>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F182"/>
  <w15:docId w15:val="{2E95A964-A593-4BBB-BE52-43D51B78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69"/>
    <w:rPr>
      <w:rFonts w:ascii="Times New Roman" w:eastAsia="Times New Roman" w:hAnsi="Times New Roman" w:cs="Times New Roman"/>
      <w:lang w:val="ro-RO"/>
    </w:rPr>
  </w:style>
  <w:style w:type="paragraph" w:styleId="Titlu1">
    <w:name w:val="heading 1"/>
    <w:basedOn w:val="Normal"/>
    <w:uiPriority w:val="9"/>
    <w:qFormat/>
    <w:rsid w:val="00B34369"/>
    <w:pPr>
      <w:ind w:left="141"/>
      <w:outlineLvl w:val="0"/>
    </w:pPr>
    <w:rPr>
      <w:b/>
      <w:bCs/>
      <w:sz w:val="27"/>
      <w:szCs w:val="27"/>
    </w:rPr>
  </w:style>
  <w:style w:type="paragraph" w:styleId="Titlu3">
    <w:name w:val="heading 3"/>
    <w:basedOn w:val="Normal"/>
    <w:next w:val="Normal"/>
    <w:link w:val="Titlu3Caracter"/>
    <w:uiPriority w:val="9"/>
    <w:semiHidden/>
    <w:unhideWhenUsed/>
    <w:qFormat/>
    <w:rsid w:val="006D2E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B34369"/>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B34369"/>
    <w:rPr>
      <w:sz w:val="24"/>
      <w:szCs w:val="24"/>
    </w:rPr>
  </w:style>
  <w:style w:type="paragraph" w:styleId="Titlu">
    <w:name w:val="Title"/>
    <w:basedOn w:val="Normal"/>
    <w:uiPriority w:val="10"/>
    <w:qFormat/>
    <w:rsid w:val="00B34369"/>
    <w:pPr>
      <w:ind w:left="2265"/>
    </w:pPr>
    <w:rPr>
      <w:b/>
      <w:bCs/>
      <w:sz w:val="32"/>
      <w:szCs w:val="32"/>
    </w:rPr>
  </w:style>
  <w:style w:type="paragraph" w:styleId="Listparagraf">
    <w:name w:val="List Paragraph"/>
    <w:basedOn w:val="Normal"/>
    <w:uiPriority w:val="1"/>
    <w:qFormat/>
    <w:rsid w:val="00B34369"/>
    <w:pPr>
      <w:ind w:left="861" w:hanging="360"/>
    </w:pPr>
  </w:style>
  <w:style w:type="paragraph" w:customStyle="1" w:styleId="TableParagraph">
    <w:name w:val="Table Paragraph"/>
    <w:basedOn w:val="Normal"/>
    <w:uiPriority w:val="1"/>
    <w:qFormat/>
    <w:rsid w:val="00B34369"/>
    <w:pPr>
      <w:ind w:left="28"/>
    </w:pPr>
    <w:rPr>
      <w:rFonts w:ascii="Calibri" w:eastAsia="Calibri" w:hAnsi="Calibri" w:cs="Calibri"/>
    </w:rPr>
  </w:style>
  <w:style w:type="paragraph" w:styleId="NormalWeb">
    <w:name w:val="Normal (Web)"/>
    <w:basedOn w:val="Normal"/>
    <w:uiPriority w:val="99"/>
    <w:semiHidden/>
    <w:unhideWhenUsed/>
    <w:rsid w:val="00B205BE"/>
    <w:pPr>
      <w:widowControl/>
      <w:autoSpaceDE/>
      <w:autoSpaceDN/>
      <w:spacing w:before="100" w:beforeAutospacing="1" w:after="100" w:afterAutospacing="1"/>
    </w:pPr>
    <w:rPr>
      <w:sz w:val="24"/>
      <w:szCs w:val="24"/>
      <w:lang w:eastAsia="ro-RO"/>
    </w:rPr>
  </w:style>
  <w:style w:type="paragraph" w:styleId="TextnBalon">
    <w:name w:val="Balloon Text"/>
    <w:basedOn w:val="Normal"/>
    <w:link w:val="TextnBalonCaracter"/>
    <w:uiPriority w:val="99"/>
    <w:semiHidden/>
    <w:unhideWhenUsed/>
    <w:rsid w:val="009B241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2419"/>
    <w:rPr>
      <w:rFonts w:ascii="Tahoma" w:eastAsia="Times New Roman" w:hAnsi="Tahoma" w:cs="Tahoma"/>
      <w:sz w:val="16"/>
      <w:szCs w:val="16"/>
      <w:lang w:val="ro-RO"/>
    </w:rPr>
  </w:style>
  <w:style w:type="character" w:customStyle="1" w:styleId="CorptextCaracter">
    <w:name w:val="Corp text Caracter"/>
    <w:basedOn w:val="Fontdeparagrafimplicit"/>
    <w:link w:val="Corptext"/>
    <w:uiPriority w:val="1"/>
    <w:rsid w:val="002E5499"/>
    <w:rPr>
      <w:rFonts w:ascii="Times New Roman" w:eastAsia="Times New Roman" w:hAnsi="Times New Roman" w:cs="Times New Roman"/>
      <w:sz w:val="24"/>
      <w:szCs w:val="24"/>
      <w:lang w:val="ro-RO"/>
    </w:rPr>
  </w:style>
  <w:style w:type="character" w:customStyle="1" w:styleId="Titlu3Caracter">
    <w:name w:val="Titlu 3 Caracter"/>
    <w:basedOn w:val="Fontdeparagrafimplicit"/>
    <w:link w:val="Titlu3"/>
    <w:uiPriority w:val="9"/>
    <w:semiHidden/>
    <w:rsid w:val="006D2E8A"/>
    <w:rPr>
      <w:rFonts w:asciiTheme="majorHAnsi" w:eastAsiaTheme="majorEastAsia" w:hAnsiTheme="majorHAnsi" w:cstheme="majorBidi"/>
      <w:color w:val="243F60"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656</Words>
  <Characters>3807</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Apetroaie Ionela</cp:lastModifiedBy>
  <cp:revision>109</cp:revision>
  <dcterms:created xsi:type="dcterms:W3CDTF">2025-11-03T14:58:00Z</dcterms:created>
  <dcterms:modified xsi:type="dcterms:W3CDTF">2026-03-31T18:30:00Z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Microsoft® Word 2016</vt:lpwstr>
  </property>
</Properties>
</file>