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165"/>
        <w:gridCol w:w="909"/>
      </w:tblGrid>
      <w:tr w:rsidR="0072345A" w:rsidRPr="00E80B4A" w14:paraId="3E8210AA" w14:textId="77777777">
        <w:trPr>
          <w:trHeight w:val="877"/>
        </w:trPr>
        <w:tc>
          <w:tcPr>
            <w:tcW w:w="8165" w:type="dxa"/>
          </w:tcPr>
          <w:tbl>
            <w:tblPr>
              <w:tblStyle w:val="TableNormal"/>
              <w:tblW w:w="0" w:type="auto"/>
              <w:tblInd w:w="148" w:type="dxa"/>
              <w:tblLayout w:type="fixed"/>
              <w:tblLook w:val="01E0" w:firstRow="1" w:lastRow="1" w:firstColumn="1" w:lastColumn="1" w:noHBand="0" w:noVBand="0"/>
            </w:tblPr>
            <w:tblGrid>
              <w:gridCol w:w="1126"/>
              <w:gridCol w:w="7039"/>
              <w:gridCol w:w="909"/>
            </w:tblGrid>
            <w:tr w:rsidR="00234693" w:rsidRPr="00E80B4A" w14:paraId="7DC00329" w14:textId="77777777" w:rsidTr="008C45B4">
              <w:trPr>
                <w:trHeight w:val="877"/>
              </w:trPr>
              <w:tc>
                <w:tcPr>
                  <w:tcW w:w="8165" w:type="dxa"/>
                  <w:gridSpan w:val="2"/>
                </w:tcPr>
                <w:p w14:paraId="0522350F" w14:textId="77777777" w:rsidR="00234693" w:rsidRPr="00E80B4A" w:rsidRDefault="00234693" w:rsidP="00E80B4A">
                  <w:pPr>
                    <w:pStyle w:val="TableParagraph"/>
                    <w:rPr>
                      <w:rFonts w:ascii="Times New Roman" w:hAnsi="Times New Roman" w:cs="Times New Roman"/>
                      <w:sz w:val="20"/>
                    </w:rPr>
                  </w:pPr>
                  <w:r w:rsidRPr="00E80B4A">
                    <w:rPr>
                      <w:rFonts w:ascii="Times New Roman" w:hAnsi="Times New Roman" w:cs="Times New Roman"/>
                      <w:noProof/>
                      <w:sz w:val="20"/>
                      <w:lang w:val="en-US"/>
                    </w:rPr>
                    <w:drawing>
                      <wp:inline distT="0" distB="0" distL="0" distR="0" wp14:anchorId="2E28A7BF" wp14:editId="68B81C22">
                        <wp:extent cx="2647413" cy="544829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 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47413" cy="544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9" w:type="dxa"/>
                </w:tcPr>
                <w:p w14:paraId="0C5A42C4" w14:textId="77777777" w:rsidR="00234693" w:rsidRPr="00E80B4A" w:rsidRDefault="00234693" w:rsidP="00E80B4A">
                  <w:pPr>
                    <w:pStyle w:val="TableParagraph"/>
                    <w:ind w:right="-29"/>
                    <w:rPr>
                      <w:rFonts w:ascii="Times New Roman" w:hAnsi="Times New Roman" w:cs="Times New Roman"/>
                      <w:sz w:val="20"/>
                    </w:rPr>
                  </w:pPr>
                  <w:r w:rsidRPr="00E80B4A">
                    <w:rPr>
                      <w:rFonts w:ascii="Times New Roman" w:hAnsi="Times New Roman" w:cs="Times New Roman"/>
                      <w:noProof/>
                      <w:sz w:val="20"/>
                      <w:lang w:val="en-US"/>
                    </w:rPr>
                    <w:drawing>
                      <wp:inline distT="0" distB="0" distL="0" distR="0" wp14:anchorId="7A1C24B5" wp14:editId="24B92439">
                        <wp:extent cx="544829" cy="544829"/>
                        <wp:effectExtent l="0" t="0" r="0" b="0"/>
                        <wp:docPr id="2" name="Image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829" cy="544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34693" w:rsidRPr="00E80B4A" w14:paraId="70743CC8" w14:textId="77777777" w:rsidTr="008C45B4">
              <w:trPr>
                <w:trHeight w:val="940"/>
              </w:trPr>
              <w:tc>
                <w:tcPr>
                  <w:tcW w:w="1126" w:type="dxa"/>
                </w:tcPr>
                <w:p w14:paraId="4A46314F" w14:textId="77777777" w:rsidR="00234693" w:rsidRPr="00E80B4A" w:rsidRDefault="00234693" w:rsidP="00E80B4A">
                  <w:pPr>
                    <w:pStyle w:val="TableParagraph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4"/>
                    </w:rPr>
                    <w:t>Apel:</w:t>
                  </w:r>
                </w:p>
              </w:tc>
              <w:tc>
                <w:tcPr>
                  <w:tcW w:w="7039" w:type="dxa"/>
                </w:tcPr>
                <w:p w14:paraId="01DE6F75" w14:textId="77777777" w:rsidR="00234693" w:rsidRPr="00E80B4A" w:rsidRDefault="00234693" w:rsidP="00E80B4A">
                  <w:pPr>
                    <w:pStyle w:val="TableParagraph"/>
                    <w:tabs>
                      <w:tab w:val="left" w:pos="4291"/>
                      <w:tab w:val="left" w:pos="4896"/>
                      <w:tab w:val="left" w:pos="6124"/>
                    </w:tabs>
                    <w:ind w:left="174" w:right="26" w:firstLine="50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PEO/76/PEO_P8/OP4/ESO4.5/PEO_A3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ab/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10"/>
                    </w:rPr>
                    <w:t>-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ab/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Adaptarea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ab/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 xml:space="preserve">serviciilor educaționale 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>adresate elevilor si personalului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79"/>
                    </w:rPr>
                    <w:t xml:space="preserve"> 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 xml:space="preserve">didactic din învățământul profesional și 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tehnic</w:t>
                  </w:r>
                </w:p>
              </w:tc>
              <w:tc>
                <w:tcPr>
                  <w:tcW w:w="909" w:type="dxa"/>
                </w:tcPr>
                <w:p w14:paraId="4D66811E" w14:textId="77777777" w:rsidR="00234693" w:rsidRPr="00E80B4A" w:rsidRDefault="00234693" w:rsidP="00E80B4A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234693" w:rsidRPr="00E80B4A" w14:paraId="50CCE5D3" w14:textId="77777777" w:rsidTr="008C45B4">
              <w:trPr>
                <w:trHeight w:val="567"/>
              </w:trPr>
              <w:tc>
                <w:tcPr>
                  <w:tcW w:w="1126" w:type="dxa"/>
                </w:tcPr>
                <w:p w14:paraId="364CB02E" w14:textId="77777777" w:rsidR="00234693" w:rsidRPr="00E80B4A" w:rsidRDefault="00234693" w:rsidP="00E80B4A">
                  <w:pPr>
                    <w:pStyle w:val="TableParagraph"/>
                    <w:ind w:right="24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Titlu proiect:</w:t>
                  </w:r>
                </w:p>
              </w:tc>
              <w:tc>
                <w:tcPr>
                  <w:tcW w:w="7039" w:type="dxa"/>
                </w:tcPr>
                <w:p w14:paraId="370FA15D" w14:textId="77777777" w:rsidR="00234693" w:rsidRPr="00E80B4A" w:rsidRDefault="00234693" w:rsidP="00E80B4A">
                  <w:pPr>
                    <w:pStyle w:val="TableParagraph"/>
                    <w:ind w:left="222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>Construind Viitorul cu Practica Elevilor: Proiect Educațional</w:t>
                  </w:r>
                </w:p>
              </w:tc>
              <w:tc>
                <w:tcPr>
                  <w:tcW w:w="909" w:type="dxa"/>
                </w:tcPr>
                <w:p w14:paraId="6DAE3FA7" w14:textId="77777777" w:rsidR="00234693" w:rsidRPr="00E80B4A" w:rsidRDefault="00234693" w:rsidP="00E80B4A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234693" w:rsidRPr="00E80B4A" w14:paraId="3A76D909" w14:textId="77777777" w:rsidTr="008C45B4">
              <w:trPr>
                <w:trHeight w:val="310"/>
              </w:trPr>
              <w:tc>
                <w:tcPr>
                  <w:tcW w:w="1126" w:type="dxa"/>
                  <w:tcBorders>
                    <w:bottom w:val="thinThickMediumGap" w:sz="6" w:space="0" w:color="0C4DA1"/>
                  </w:tcBorders>
                </w:tcPr>
                <w:p w14:paraId="5F99A8BE" w14:textId="77777777" w:rsidR="00234693" w:rsidRPr="00E80B4A" w:rsidRDefault="00234693" w:rsidP="00E80B4A">
                  <w:pPr>
                    <w:pStyle w:val="TableParagraph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>Cod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5"/>
                    </w:rPr>
                    <w:t xml:space="preserve"> 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SMIS:</w:t>
                  </w:r>
                </w:p>
              </w:tc>
              <w:tc>
                <w:tcPr>
                  <w:tcW w:w="7039" w:type="dxa"/>
                  <w:tcBorders>
                    <w:bottom w:val="thinThickMediumGap" w:sz="6" w:space="0" w:color="0C4DA1"/>
                  </w:tcBorders>
                </w:tcPr>
                <w:p w14:paraId="24EB59BE" w14:textId="32968537" w:rsidR="00234693" w:rsidRPr="00E80B4A" w:rsidRDefault="00234693" w:rsidP="00E80B4A">
                  <w:pPr>
                    <w:pStyle w:val="TableParagraph"/>
                    <w:ind w:left="234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3169</w:t>
                  </w:r>
                  <w:r w:rsidR="00432AA2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4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7</w:t>
                  </w:r>
                </w:p>
              </w:tc>
              <w:tc>
                <w:tcPr>
                  <w:tcW w:w="909" w:type="dxa"/>
                  <w:tcBorders>
                    <w:bottom w:val="thinThickMediumGap" w:sz="6" w:space="0" w:color="0C4DA1"/>
                  </w:tcBorders>
                </w:tcPr>
                <w:p w14:paraId="73DE83E5" w14:textId="77777777" w:rsidR="00234693" w:rsidRPr="00E80B4A" w:rsidRDefault="00234693" w:rsidP="00E80B4A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34693" w:rsidRPr="00E80B4A" w14:paraId="5FBE47EF" w14:textId="77777777" w:rsidTr="008C45B4">
              <w:trPr>
                <w:trHeight w:val="383"/>
              </w:trPr>
              <w:tc>
                <w:tcPr>
                  <w:tcW w:w="8165" w:type="dxa"/>
                  <w:gridSpan w:val="2"/>
                  <w:tcBorders>
                    <w:top w:val="thickThinMediumGap" w:sz="6" w:space="0" w:color="0C4DA1"/>
                  </w:tcBorders>
                </w:tcPr>
                <w:p w14:paraId="7C70F706" w14:textId="77777777" w:rsidR="00234693" w:rsidRPr="00E80B4A" w:rsidRDefault="00234693" w:rsidP="00E80B4A">
                  <w:pPr>
                    <w:pStyle w:val="TableParagraph"/>
                    <w:rPr>
                      <w:rFonts w:ascii="Times New Roman" w:hAnsi="Times New Roman" w:cs="Times New Roman"/>
                      <w:b/>
                      <w:sz w:val="32"/>
                      <w:lang w:val="en-US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z w:val="32"/>
                    </w:rPr>
                    <w:t>Colegiul „Vasile Lovinescu” - Fălticeni</w:t>
                  </w:r>
                </w:p>
              </w:tc>
              <w:tc>
                <w:tcPr>
                  <w:tcW w:w="909" w:type="dxa"/>
                  <w:tcBorders>
                    <w:top w:val="thickThinMediumGap" w:sz="6" w:space="0" w:color="0C4DA1"/>
                  </w:tcBorders>
                </w:tcPr>
                <w:p w14:paraId="14C18955" w14:textId="77777777" w:rsidR="00234693" w:rsidRPr="00E80B4A" w:rsidRDefault="00234693" w:rsidP="00E80B4A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21DA95A9" w14:textId="77777777" w:rsidR="0072345A" w:rsidRPr="00E80B4A" w:rsidRDefault="0072345A" w:rsidP="00E80B4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9" w:type="dxa"/>
          </w:tcPr>
          <w:p w14:paraId="59AC3535" w14:textId="77777777" w:rsidR="0072345A" w:rsidRPr="00E80B4A" w:rsidRDefault="0072345A" w:rsidP="00E80B4A">
            <w:pPr>
              <w:pStyle w:val="TableParagraph"/>
              <w:ind w:right="-29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EC61E81" w14:textId="77777777" w:rsidR="00234693" w:rsidRDefault="00234693" w:rsidP="00E80B4A">
      <w:pPr>
        <w:pStyle w:val="Titlu"/>
      </w:pPr>
    </w:p>
    <w:p w14:paraId="1DF46485" w14:textId="77777777" w:rsidR="0074511A" w:rsidRDefault="0074511A" w:rsidP="00E80B4A">
      <w:pPr>
        <w:pStyle w:val="Titlu"/>
      </w:pPr>
    </w:p>
    <w:p w14:paraId="318CFF0D" w14:textId="5B55EE1C" w:rsidR="009B2419" w:rsidRDefault="009B2419" w:rsidP="009B2419">
      <w:pPr>
        <w:pStyle w:val="Corptext"/>
        <w:jc w:val="center"/>
        <w:rPr>
          <w:b/>
          <w:sz w:val="32"/>
        </w:rPr>
      </w:pPr>
      <w:r w:rsidRPr="00B112FD">
        <w:rPr>
          <w:b/>
          <w:sz w:val="32"/>
        </w:rPr>
        <w:t xml:space="preserve">Raport atelier dezvoltare personală – luna </w:t>
      </w:r>
      <w:r w:rsidR="009F7337">
        <w:rPr>
          <w:b/>
          <w:sz w:val="32"/>
        </w:rPr>
        <w:t>ianuarie</w:t>
      </w:r>
      <w:r w:rsidR="00A10528">
        <w:rPr>
          <w:b/>
          <w:sz w:val="32"/>
        </w:rPr>
        <w:t>, 202</w:t>
      </w:r>
      <w:r w:rsidR="009F7337">
        <w:rPr>
          <w:b/>
          <w:sz w:val="32"/>
        </w:rPr>
        <w:t>6</w:t>
      </w:r>
    </w:p>
    <w:p w14:paraId="09215471" w14:textId="77777777" w:rsidR="0072345A" w:rsidRPr="009B2419" w:rsidRDefault="00B5586E" w:rsidP="00E80B4A">
      <w:pPr>
        <w:pStyle w:val="Titlu"/>
        <w:ind w:left="0"/>
        <w:jc w:val="center"/>
        <w:rPr>
          <w:sz w:val="24"/>
          <w:szCs w:val="24"/>
        </w:rPr>
      </w:pPr>
      <w:r w:rsidRPr="009B2419">
        <w:rPr>
          <w:sz w:val="24"/>
          <w:szCs w:val="24"/>
        </w:rPr>
        <w:t>Promovarea</w:t>
      </w:r>
      <w:r w:rsidRPr="009B2419">
        <w:rPr>
          <w:spacing w:val="-11"/>
          <w:sz w:val="24"/>
          <w:szCs w:val="24"/>
        </w:rPr>
        <w:t xml:space="preserve"> </w:t>
      </w:r>
      <w:r w:rsidRPr="009B2419">
        <w:rPr>
          <w:sz w:val="24"/>
          <w:szCs w:val="24"/>
        </w:rPr>
        <w:t>Egalității</w:t>
      </w:r>
      <w:r w:rsidRPr="009B2419">
        <w:rPr>
          <w:spacing w:val="-13"/>
          <w:sz w:val="24"/>
          <w:szCs w:val="24"/>
        </w:rPr>
        <w:t xml:space="preserve"> </w:t>
      </w:r>
      <w:r w:rsidRPr="009B2419">
        <w:rPr>
          <w:sz w:val="24"/>
          <w:szCs w:val="24"/>
        </w:rPr>
        <w:t>de</w:t>
      </w:r>
      <w:r w:rsidRPr="009B2419">
        <w:rPr>
          <w:spacing w:val="-10"/>
          <w:sz w:val="24"/>
          <w:szCs w:val="24"/>
        </w:rPr>
        <w:t xml:space="preserve"> </w:t>
      </w:r>
      <w:r w:rsidRPr="009B2419">
        <w:rPr>
          <w:spacing w:val="-5"/>
          <w:sz w:val="24"/>
          <w:szCs w:val="24"/>
        </w:rPr>
        <w:t>Gen</w:t>
      </w:r>
    </w:p>
    <w:p w14:paraId="5EB127CC" w14:textId="77777777" w:rsidR="0072345A" w:rsidRPr="009B2419" w:rsidRDefault="00B5586E" w:rsidP="00E80B4A">
      <w:pPr>
        <w:jc w:val="center"/>
        <w:rPr>
          <w:b/>
          <w:sz w:val="24"/>
          <w:szCs w:val="24"/>
        </w:rPr>
      </w:pPr>
      <w:r w:rsidRPr="009B2419">
        <w:rPr>
          <w:b/>
          <w:sz w:val="24"/>
          <w:szCs w:val="24"/>
        </w:rPr>
        <w:t>în</w:t>
      </w:r>
      <w:r w:rsidRPr="009B2419">
        <w:rPr>
          <w:b/>
          <w:spacing w:val="-6"/>
          <w:sz w:val="24"/>
          <w:szCs w:val="24"/>
        </w:rPr>
        <w:t xml:space="preserve"> </w:t>
      </w:r>
      <w:r w:rsidRPr="009B2419">
        <w:rPr>
          <w:b/>
          <w:sz w:val="24"/>
          <w:szCs w:val="24"/>
        </w:rPr>
        <w:t>cadrul</w:t>
      </w:r>
      <w:r w:rsidRPr="009B2419">
        <w:rPr>
          <w:b/>
          <w:spacing w:val="-3"/>
          <w:sz w:val="24"/>
          <w:szCs w:val="24"/>
        </w:rPr>
        <w:t xml:space="preserve"> </w:t>
      </w:r>
      <w:r w:rsidRPr="009B2419">
        <w:rPr>
          <w:b/>
          <w:sz w:val="24"/>
          <w:szCs w:val="24"/>
        </w:rPr>
        <w:t>proiectului</w:t>
      </w:r>
      <w:r w:rsidRPr="009B2419">
        <w:rPr>
          <w:b/>
          <w:spacing w:val="-6"/>
          <w:sz w:val="24"/>
          <w:szCs w:val="24"/>
        </w:rPr>
        <w:t xml:space="preserve"> </w:t>
      </w:r>
      <w:r w:rsidRPr="009B2419">
        <w:rPr>
          <w:b/>
          <w:sz w:val="24"/>
          <w:szCs w:val="24"/>
        </w:rPr>
        <w:t>„</w:t>
      </w:r>
      <w:r w:rsidR="00E80B4A" w:rsidRPr="009B2419">
        <w:rPr>
          <w:b/>
          <w:sz w:val="24"/>
          <w:szCs w:val="24"/>
        </w:rPr>
        <w:t>Construind Viitorul cu Practica Elevilor: Proiect Educațional</w:t>
      </w:r>
      <w:r w:rsidRPr="009B2419">
        <w:rPr>
          <w:b/>
          <w:spacing w:val="-2"/>
          <w:sz w:val="24"/>
          <w:szCs w:val="24"/>
        </w:rPr>
        <w:t>”</w:t>
      </w:r>
    </w:p>
    <w:p w14:paraId="4D50B884" w14:textId="77777777" w:rsidR="0072345A" w:rsidRDefault="0072345A" w:rsidP="00E80B4A">
      <w:pPr>
        <w:pStyle w:val="Corptext"/>
        <w:rPr>
          <w:b/>
          <w:sz w:val="22"/>
        </w:rPr>
      </w:pPr>
    </w:p>
    <w:p w14:paraId="1FEB5638" w14:textId="77777777" w:rsidR="0074511A" w:rsidRDefault="0074511A" w:rsidP="00E80B4A">
      <w:pPr>
        <w:pStyle w:val="Corptext"/>
        <w:rPr>
          <w:b/>
          <w:sz w:val="22"/>
        </w:rPr>
      </w:pPr>
    </w:p>
    <w:p w14:paraId="0ED424D0" w14:textId="77777777" w:rsidR="0074511A" w:rsidRPr="00E80B4A" w:rsidRDefault="0074511A" w:rsidP="00E80B4A">
      <w:pPr>
        <w:pStyle w:val="Corptext"/>
        <w:rPr>
          <w:b/>
          <w:sz w:val="22"/>
        </w:rPr>
      </w:pPr>
    </w:p>
    <w:p w14:paraId="6312C7AF" w14:textId="75FB994C" w:rsidR="0072345A" w:rsidRPr="00605DB5" w:rsidRDefault="00CA1688" w:rsidP="00CA1688">
      <w:pPr>
        <w:pStyle w:val="Corptext"/>
        <w:ind w:left="141" w:firstLine="720"/>
        <w:jc w:val="both"/>
      </w:pPr>
      <w:r w:rsidRPr="00BC2A0F">
        <w:t>Activitățil</w:t>
      </w:r>
      <w:r w:rsidR="00AC7C61" w:rsidRPr="00BC2A0F">
        <w:t>e</w:t>
      </w:r>
      <w:r w:rsidRPr="00BC2A0F">
        <w:t xml:space="preserve"> derulate </w:t>
      </w:r>
      <w:r w:rsidR="002B6556" w:rsidRPr="00BC2A0F">
        <w:t xml:space="preserve">în luna ianuarie în cadrul atelierelor de dezvoltare personală </w:t>
      </w:r>
      <w:r w:rsidR="00BC2A0F" w:rsidRPr="00BC2A0F">
        <w:t xml:space="preserve">pentru </w:t>
      </w:r>
      <w:r w:rsidR="00BC2A0F" w:rsidRPr="00DB09B7">
        <w:rPr>
          <w:i/>
          <w:iCs/>
        </w:rPr>
        <w:t>promovarea</w:t>
      </w:r>
      <w:r w:rsidR="00E46913" w:rsidRPr="00DB09B7">
        <w:rPr>
          <w:i/>
          <w:iCs/>
        </w:rPr>
        <w:t xml:space="preserve"> principiil</w:t>
      </w:r>
      <w:r w:rsidR="00BC2A0F" w:rsidRPr="00DB09B7">
        <w:rPr>
          <w:i/>
          <w:iCs/>
        </w:rPr>
        <w:t>or</w:t>
      </w:r>
      <w:r w:rsidR="00E46913" w:rsidRPr="00DB09B7">
        <w:rPr>
          <w:i/>
          <w:iCs/>
        </w:rPr>
        <w:t xml:space="preserve"> egalității de gen</w:t>
      </w:r>
      <w:r w:rsidR="00BC2A0F" w:rsidRPr="00BC2A0F">
        <w:t xml:space="preserve"> au presupus implicarea elevilor</w:t>
      </w:r>
      <w:r w:rsidR="00851AD6">
        <w:t xml:space="preserve"> din grupul țintă</w:t>
      </w:r>
      <w:r w:rsidR="00BC2A0F" w:rsidRPr="00BC2A0F">
        <w:t xml:space="preserve"> în acțiuni de </w:t>
      </w:r>
      <w:r w:rsidR="00BC2A0F" w:rsidRPr="00605DB5">
        <w:t xml:space="preserve">identificare a </w:t>
      </w:r>
      <w:r w:rsidR="00605DB5" w:rsidRPr="00605DB5">
        <w:t xml:space="preserve">posibilelor </w:t>
      </w:r>
      <w:r w:rsidR="00BC2A0F" w:rsidRPr="00605DB5">
        <w:t xml:space="preserve">situații </w:t>
      </w:r>
      <w:r w:rsidR="00605DB5" w:rsidRPr="00605DB5">
        <w:t>ce</w:t>
      </w:r>
      <w:r w:rsidR="00BC2A0F" w:rsidRPr="00605DB5">
        <w:t xml:space="preserve"> limitează accesul </w:t>
      </w:r>
      <w:r w:rsidR="00DB09B7" w:rsidRPr="00605DB5">
        <w:t xml:space="preserve">sau este exclusă egalitatea de gen în mediul școlar  și </w:t>
      </w:r>
      <w:r w:rsidR="00605DB5" w:rsidRPr="00605DB5">
        <w:t>în activitatea profesională.</w:t>
      </w:r>
    </w:p>
    <w:p w14:paraId="354E6B28" w14:textId="77777777" w:rsidR="00851AD6" w:rsidRDefault="00851AD6" w:rsidP="00BC2A0F">
      <w:pPr>
        <w:pStyle w:val="Corptext"/>
        <w:ind w:firstLine="720"/>
        <w:jc w:val="both"/>
      </w:pPr>
    </w:p>
    <w:p w14:paraId="5DCA4CCE" w14:textId="0695AE03" w:rsidR="00BC2A0F" w:rsidRDefault="00851AD6" w:rsidP="00BC2A0F">
      <w:pPr>
        <w:pStyle w:val="Corptext"/>
        <w:ind w:firstLine="720"/>
        <w:jc w:val="both"/>
      </w:pPr>
      <w:r>
        <w:t>S-a plecat de la ideea că, d</w:t>
      </w:r>
      <w:r w:rsidR="00BC2A0F">
        <w:t>eși sistem</w:t>
      </w:r>
      <w:r w:rsidR="00485A37">
        <w:t>ul</w:t>
      </w:r>
      <w:r w:rsidR="00BC2A0F">
        <w:t xml:space="preserve"> educațional modern tind</w:t>
      </w:r>
      <w:r w:rsidR="00485A37">
        <w:t>e</w:t>
      </w:r>
      <w:r w:rsidR="00BC2A0F">
        <w:t xml:space="preserve"> spre incluziune, în practică există încă numeroase situații „invizibile” sau tradiționale unde accesul este limitat sau unde stereotipurile de gen dictează participarea elevilor de liceu</w:t>
      </w:r>
      <w:r w:rsidR="007D28BF">
        <w:t xml:space="preserve">, iar în mediul profesional, la locul de muncă, </w:t>
      </w:r>
      <w:r w:rsidR="007D28BF" w:rsidRPr="007D28BF">
        <w:t>limitările și excluderea bazate pe gen devin adesea mai subtile, dar cu un impact economic și social mult mai profund</w:t>
      </w:r>
      <w:r w:rsidR="00BC2A0F">
        <w:t>.</w:t>
      </w:r>
    </w:p>
    <w:p w14:paraId="65E2D5C7" w14:textId="0FC267A0" w:rsidR="00851AD6" w:rsidRPr="006F69AB" w:rsidRDefault="00851AD6" w:rsidP="00BC2A0F">
      <w:pPr>
        <w:pStyle w:val="Corptext"/>
        <w:ind w:firstLine="720"/>
        <w:jc w:val="both"/>
      </w:pPr>
      <w:r w:rsidRPr="006F69AB">
        <w:t>Ca urmare elevii au identificat urm</w:t>
      </w:r>
      <w:r w:rsidR="007670C9" w:rsidRPr="006F69AB">
        <w:t>ătoarele situații în care pot să apară excluziuni pe diferite „principii” și false motive care implică stereotipuri de gen</w:t>
      </w:r>
      <w:r w:rsidR="003A1FE7" w:rsidRPr="006F69AB">
        <w:t>:</w:t>
      </w:r>
    </w:p>
    <w:p w14:paraId="438B2598" w14:textId="2FD2CD0F" w:rsidR="007D28BF" w:rsidRPr="00335D0C" w:rsidRDefault="007D28BF" w:rsidP="00BC2A0F">
      <w:pPr>
        <w:pStyle w:val="Corptext"/>
        <w:ind w:firstLine="720"/>
        <w:jc w:val="both"/>
      </w:pPr>
      <w:r>
        <w:rPr>
          <w:b/>
          <w:bCs/>
        </w:rPr>
        <w:t xml:space="preserve">În mediul școlar, </w:t>
      </w:r>
      <w:r w:rsidR="00371D44">
        <w:t>pentru</w:t>
      </w:r>
      <w:r w:rsidRPr="00335D0C">
        <w:t xml:space="preserve"> nivelul de studii corespunzător elevilor din grupul țintă: </w:t>
      </w:r>
    </w:p>
    <w:p w14:paraId="0BF00DAA" w14:textId="3382FF5B" w:rsidR="007723FE" w:rsidRPr="007377B9" w:rsidRDefault="007723FE" w:rsidP="00BC2A0F">
      <w:pPr>
        <w:pStyle w:val="Corptext"/>
        <w:ind w:firstLine="720"/>
        <w:jc w:val="both"/>
        <w:rPr>
          <w:b/>
          <w:bCs/>
          <w:i/>
          <w:iCs/>
        </w:rPr>
      </w:pPr>
      <w:r w:rsidRPr="007377B9">
        <w:rPr>
          <w:b/>
          <w:bCs/>
          <w:i/>
          <w:iCs/>
        </w:rPr>
        <w:t>Roluri executive sau administrative</w:t>
      </w:r>
      <w:r w:rsidRPr="007377B9">
        <w:rPr>
          <w:i/>
          <w:iCs/>
        </w:rPr>
        <w:t>: adesea băieții sunt încurajați, în colectivul clasei, să ocupe funcția de „șef” sau „reprezentant”, în timp ce fetele primesc sarcini de organizare, menținerea ordinii în clasă, etc.</w:t>
      </w:r>
    </w:p>
    <w:p w14:paraId="288D7536" w14:textId="44E47883" w:rsidR="003A1FE7" w:rsidRPr="007377B9" w:rsidRDefault="003A1FE7" w:rsidP="00BC2A0F">
      <w:pPr>
        <w:pStyle w:val="Corptext"/>
        <w:ind w:firstLine="720"/>
        <w:jc w:val="both"/>
        <w:rPr>
          <w:i/>
          <w:iCs/>
        </w:rPr>
      </w:pPr>
      <w:r w:rsidRPr="007377B9">
        <w:rPr>
          <w:b/>
          <w:bCs/>
          <w:i/>
          <w:iCs/>
        </w:rPr>
        <w:t>Educația Fizică și Sportul</w:t>
      </w:r>
      <w:r w:rsidRPr="007377B9">
        <w:rPr>
          <w:i/>
          <w:iCs/>
        </w:rPr>
        <w:t>: terenul de fotbal este adesea ocupat prioritar de echipele de băieți, în timp ce fetele primesc spații mai mici sau activități considerate „ușoare” (ex: dans).</w:t>
      </w:r>
    </w:p>
    <w:p w14:paraId="4DBF747B" w14:textId="505119C6" w:rsidR="007723FE" w:rsidRPr="007377B9" w:rsidRDefault="000D38C9" w:rsidP="00BC2A0F">
      <w:pPr>
        <w:pStyle w:val="Corptext"/>
        <w:ind w:firstLine="720"/>
        <w:jc w:val="both"/>
        <w:rPr>
          <w:i/>
          <w:iCs/>
        </w:rPr>
      </w:pPr>
      <w:r w:rsidRPr="007377B9">
        <w:rPr>
          <w:b/>
          <w:bCs/>
          <w:i/>
          <w:iCs/>
        </w:rPr>
        <w:t>În atelierele de lucru</w:t>
      </w:r>
      <w:r w:rsidRPr="007377B9">
        <w:rPr>
          <w:i/>
          <w:iCs/>
        </w:rPr>
        <w:t>: fetele nu sunt încurajate să participe sub pretextul siguranței sau al forței fizice.</w:t>
      </w:r>
    </w:p>
    <w:p w14:paraId="4B5B42DA" w14:textId="299E0CA9" w:rsidR="006454F5" w:rsidRPr="007377B9" w:rsidRDefault="006F69AB" w:rsidP="00BC2A0F">
      <w:pPr>
        <w:pStyle w:val="Corptext"/>
        <w:ind w:firstLine="720"/>
        <w:jc w:val="both"/>
        <w:rPr>
          <w:i/>
          <w:iCs/>
        </w:rPr>
      </w:pPr>
      <w:r w:rsidRPr="007377B9">
        <w:rPr>
          <w:i/>
          <w:iCs/>
        </w:rPr>
        <w:t>În spațiile de servire pentru domeniul Turism și alimentație: situația se inversează, băieții care doresc să acceseze acest domeniu sunt adesea descurajați de către colege sau chiar de către instructori.</w:t>
      </w:r>
    </w:p>
    <w:p w14:paraId="2BDDF4E1" w14:textId="5CB62C5B" w:rsidR="00BC2A0F" w:rsidRPr="007908C3" w:rsidRDefault="007908C3" w:rsidP="007908C3">
      <w:pPr>
        <w:pStyle w:val="Corptext"/>
        <w:ind w:firstLine="720"/>
        <w:jc w:val="both"/>
        <w:rPr>
          <w:b/>
          <w:bCs/>
        </w:rPr>
      </w:pPr>
      <w:r w:rsidRPr="007908C3">
        <w:rPr>
          <w:b/>
          <w:bCs/>
        </w:rPr>
        <w:t>În mediul profesional</w:t>
      </w:r>
      <w:r>
        <w:rPr>
          <w:b/>
          <w:bCs/>
        </w:rPr>
        <w:t xml:space="preserve"> </w:t>
      </w:r>
      <w:r w:rsidRPr="007908C3">
        <w:t>au fost identificate următoarele posibile situații:</w:t>
      </w:r>
    </w:p>
    <w:p w14:paraId="3BAF2676" w14:textId="57FE2EEB" w:rsidR="00BC2A0F" w:rsidRPr="002158D9" w:rsidRDefault="006E6CE9" w:rsidP="00EA6AF2">
      <w:pPr>
        <w:pStyle w:val="Corptext"/>
        <w:ind w:firstLine="720"/>
        <w:jc w:val="both"/>
        <w:rPr>
          <w:i/>
          <w:iCs/>
        </w:rPr>
      </w:pPr>
      <w:r w:rsidRPr="002158D9">
        <w:rPr>
          <w:i/>
          <w:iCs/>
        </w:rPr>
        <w:t>F</w:t>
      </w:r>
      <w:r w:rsidR="00EA6AF2" w:rsidRPr="002158D9">
        <w:rPr>
          <w:i/>
          <w:iCs/>
        </w:rPr>
        <w:t>emeile sunt adesea promovate pe baza performanțelor trecute (trebuie să demonstreze deja că pot), în timp ce bărbații sunt promovați pe baza potențialului viitor.</w:t>
      </w:r>
    </w:p>
    <w:p w14:paraId="0DE913ED" w14:textId="7F8AFAB3" w:rsidR="00EA6AF2" w:rsidRPr="002158D9" w:rsidRDefault="00EA6AF2" w:rsidP="00EA6AF2">
      <w:pPr>
        <w:pStyle w:val="Corptext"/>
        <w:ind w:firstLine="720"/>
        <w:jc w:val="both"/>
        <w:rPr>
          <w:i/>
          <w:iCs/>
          <w:highlight w:val="yellow"/>
        </w:rPr>
      </w:pPr>
      <w:r w:rsidRPr="002158D9">
        <w:rPr>
          <w:i/>
          <w:iCs/>
        </w:rPr>
        <w:t xml:space="preserve">Femeile sunt adesea percepute ca fiind „mai puțin dedicate” muncii după ce devin mame, fiind sărite de la </w:t>
      </w:r>
      <w:r w:rsidR="00345707" w:rsidRPr="002158D9">
        <w:rPr>
          <w:i/>
          <w:iCs/>
        </w:rPr>
        <w:t>activități</w:t>
      </w:r>
      <w:r w:rsidRPr="002158D9">
        <w:rPr>
          <w:i/>
          <w:iCs/>
        </w:rPr>
        <w:t xml:space="preserve"> complexe.</w:t>
      </w:r>
    </w:p>
    <w:p w14:paraId="0089CBE2" w14:textId="435D3126" w:rsidR="00BC2A0F" w:rsidRPr="002158D9" w:rsidRDefault="006E6CE9" w:rsidP="006E6CE9">
      <w:pPr>
        <w:pStyle w:val="Corptext"/>
        <w:ind w:firstLine="720"/>
        <w:jc w:val="both"/>
        <w:rPr>
          <w:i/>
          <w:iCs/>
          <w:highlight w:val="yellow"/>
        </w:rPr>
      </w:pPr>
      <w:r w:rsidRPr="002158D9">
        <w:rPr>
          <w:i/>
          <w:iCs/>
        </w:rPr>
        <w:t>Femeile preiau adesea sarcini administrative care nu sunt reprezentative pentru evaluările salariale.</w:t>
      </w:r>
    </w:p>
    <w:p w14:paraId="50E839E8" w14:textId="77777777" w:rsidR="0072345A" w:rsidRPr="00CA6BB5" w:rsidRDefault="00B5586E" w:rsidP="00CA6BB5">
      <w:pPr>
        <w:ind w:left="141" w:firstLine="579"/>
        <w:rPr>
          <w:b/>
          <w:sz w:val="28"/>
        </w:rPr>
      </w:pPr>
      <w:r w:rsidRPr="00CA6BB5">
        <w:rPr>
          <w:b/>
          <w:spacing w:val="-2"/>
          <w:sz w:val="28"/>
        </w:rPr>
        <w:t>Concluzie</w:t>
      </w:r>
    </w:p>
    <w:p w14:paraId="5FD299B0" w14:textId="77777777" w:rsidR="0074511A" w:rsidRDefault="00E9240D" w:rsidP="00E72B21">
      <w:pPr>
        <w:pStyle w:val="Corptext"/>
        <w:ind w:right="-15" w:firstLine="579"/>
        <w:jc w:val="both"/>
      </w:pPr>
      <w:r w:rsidRPr="00E9240D">
        <w:t>În urma a</w:t>
      </w:r>
      <w:r w:rsidR="00916852" w:rsidRPr="00E9240D">
        <w:t>ctivitățil</w:t>
      </w:r>
      <w:r w:rsidRPr="00E9240D">
        <w:t>or</w:t>
      </w:r>
      <w:r w:rsidR="00916852" w:rsidRPr="00E9240D">
        <w:rPr>
          <w:spacing w:val="-13"/>
        </w:rPr>
        <w:t xml:space="preserve"> </w:t>
      </w:r>
      <w:r w:rsidR="00CA6BB5" w:rsidRPr="00E9240D">
        <w:rPr>
          <w:spacing w:val="-13"/>
        </w:rPr>
        <w:t xml:space="preserve">derulate </w:t>
      </w:r>
      <w:r w:rsidR="00CA6BB5" w:rsidRPr="00E9240D">
        <w:t xml:space="preserve">în cadrul acestui atelier, în luna ianuarie,  </w:t>
      </w:r>
      <w:r w:rsidRPr="00E9240D">
        <w:t xml:space="preserve">elevii ajuns la concluzia </w:t>
      </w:r>
      <w:r w:rsidR="00AF49EB" w:rsidRPr="00E9240D">
        <w:t xml:space="preserve">că </w:t>
      </w:r>
      <w:r w:rsidR="00916852" w:rsidRPr="00E9240D">
        <w:t>egalitatea de gen</w:t>
      </w:r>
      <w:r w:rsidR="00CA6BB5" w:rsidRPr="00E9240D">
        <w:t xml:space="preserve"> </w:t>
      </w:r>
      <w:r w:rsidR="004C595D" w:rsidRPr="00E9240D">
        <w:t>este greu de exclus în totalitate</w:t>
      </w:r>
      <w:r w:rsidRPr="00E9240D">
        <w:t xml:space="preserve">, că nu se mai manifestă prin </w:t>
      </w:r>
      <w:r w:rsidRPr="00E9240D">
        <w:lastRenderedPageBreak/>
        <w:t>interdicții directe, ci prin stereotipuri subtile care modelează alegerile și parcursul școlar și profesional</w:t>
      </w:r>
      <w:r w:rsidR="00601DE0">
        <w:t>: c</w:t>
      </w:r>
      <w:r w:rsidR="00601DE0" w:rsidRPr="00601DE0">
        <w:t xml:space="preserve">eea ce începe în </w:t>
      </w:r>
      <w:r w:rsidR="00601DE0">
        <w:t>școală</w:t>
      </w:r>
      <w:r w:rsidR="00601DE0" w:rsidRPr="00601DE0">
        <w:t xml:space="preserve"> ca o simplă „repartizare pe roluri” (fetele la organizare, băieții la tehnică) </w:t>
      </w:r>
      <w:r w:rsidR="00601DE0">
        <w:t xml:space="preserve">ajunge să devină </w:t>
      </w:r>
      <w:r w:rsidR="00601DE0" w:rsidRPr="00601DE0">
        <w:t xml:space="preserve">în mediul profesional, în diferențe salariale și acces limitat la </w:t>
      </w:r>
      <w:r w:rsidR="00601DE0">
        <w:t xml:space="preserve">anumite </w:t>
      </w:r>
      <w:r w:rsidR="00601DE0" w:rsidRPr="00601DE0">
        <w:t>funcții</w:t>
      </w:r>
      <w:r w:rsidR="00601DE0">
        <w:t xml:space="preserve">, </w:t>
      </w:r>
      <w:r w:rsidR="00037A4F">
        <w:t>l</w:t>
      </w:r>
      <w:r w:rsidR="00037A4F" w:rsidRPr="00037A4F">
        <w:t>imitarea accesului bazată pe gen nu este doar o problemă de etică ci și una de eficiență</w:t>
      </w:r>
      <w:r w:rsidR="00037A4F">
        <w:t>, s</w:t>
      </w:r>
      <w:r w:rsidR="00037A4F" w:rsidRPr="00037A4F">
        <w:t xml:space="preserve">chimbarea nu depinde doar de </w:t>
      </w:r>
      <w:r w:rsidR="00037A4F">
        <w:t>persoană</w:t>
      </w:r>
      <w:r w:rsidR="00037A4F" w:rsidRPr="00037A4F">
        <w:t xml:space="preserve">, ci de o transformare a </w:t>
      </w:r>
      <w:r w:rsidR="00037A4F">
        <w:t>întregului sistem</w:t>
      </w:r>
      <w:r w:rsidR="0074511A">
        <w:t xml:space="preserve">. </w:t>
      </w:r>
    </w:p>
    <w:p w14:paraId="780269AC" w14:textId="43C10B12" w:rsidR="00916852" w:rsidRPr="00E9240D" w:rsidRDefault="0074511A" w:rsidP="00E72B21">
      <w:pPr>
        <w:pStyle w:val="Corptext"/>
        <w:ind w:right="-15" w:firstLine="579"/>
        <w:jc w:val="both"/>
      </w:pPr>
      <w:r w:rsidRPr="0074511A">
        <w:t>Egalitatea de gen nu înseamnă uniformizarea preferințelor, ci garantarea faptului că genul unei persoane nu devine niciodată o barieră în calea accesului la resurse</w:t>
      </w:r>
      <w:r>
        <w:t xml:space="preserve"> și succes</w:t>
      </w:r>
      <w:r w:rsidRPr="0074511A">
        <w:t>.</w:t>
      </w:r>
    </w:p>
    <w:p w14:paraId="0F9CD702" w14:textId="77777777" w:rsidR="002C7EEC" w:rsidRPr="00E9240D" w:rsidRDefault="009B2419" w:rsidP="009B2419">
      <w:pPr>
        <w:jc w:val="both"/>
        <w:rPr>
          <w:b/>
          <w:bCs/>
          <w:sz w:val="24"/>
          <w:szCs w:val="24"/>
        </w:rPr>
      </w:pPr>
      <w:r w:rsidRPr="00E9240D">
        <w:rPr>
          <w:b/>
          <w:bCs/>
          <w:sz w:val="24"/>
          <w:szCs w:val="24"/>
        </w:rPr>
        <w:t xml:space="preserve">                        </w:t>
      </w:r>
    </w:p>
    <w:p w14:paraId="1E6F47F8" w14:textId="5446E56A" w:rsidR="009B2419" w:rsidRPr="00E80B4A" w:rsidRDefault="009B2419" w:rsidP="009B2419">
      <w:pPr>
        <w:pStyle w:val="Corptext"/>
        <w:ind w:right="138"/>
        <w:jc w:val="both"/>
      </w:pPr>
    </w:p>
    <w:sectPr w:rsidR="009B2419" w:rsidRPr="00E80B4A" w:rsidSect="002C7EEC">
      <w:pgSz w:w="11910" w:h="16840"/>
      <w:pgMar w:top="880" w:right="1200" w:bottom="99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B14EC"/>
    <w:multiLevelType w:val="hybridMultilevel"/>
    <w:tmpl w:val="53C29AC2"/>
    <w:lvl w:ilvl="0" w:tplc="7B201C4E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ADA2E59"/>
    <w:multiLevelType w:val="hybridMultilevel"/>
    <w:tmpl w:val="6BE80CF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B95FE1"/>
    <w:multiLevelType w:val="hybridMultilevel"/>
    <w:tmpl w:val="2B06EEF2"/>
    <w:lvl w:ilvl="0" w:tplc="7942407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9A4E48E0">
      <w:numFmt w:val="bullet"/>
      <w:lvlText w:val="•"/>
      <w:lvlJc w:val="left"/>
      <w:pPr>
        <w:ind w:left="1709" w:hanging="360"/>
      </w:pPr>
      <w:rPr>
        <w:rFonts w:hint="default"/>
        <w:lang w:val="ro-RO" w:eastAsia="en-US" w:bidi="ar-SA"/>
      </w:rPr>
    </w:lvl>
    <w:lvl w:ilvl="2" w:tplc="47A60FCE">
      <w:numFmt w:val="bullet"/>
      <w:lvlText w:val="•"/>
      <w:lvlJc w:val="left"/>
      <w:pPr>
        <w:ind w:left="2559" w:hanging="360"/>
      </w:pPr>
      <w:rPr>
        <w:rFonts w:hint="default"/>
        <w:lang w:val="ro-RO" w:eastAsia="en-US" w:bidi="ar-SA"/>
      </w:rPr>
    </w:lvl>
    <w:lvl w:ilvl="3" w:tplc="9072E718">
      <w:numFmt w:val="bullet"/>
      <w:lvlText w:val="•"/>
      <w:lvlJc w:val="left"/>
      <w:pPr>
        <w:ind w:left="3408" w:hanging="360"/>
      </w:pPr>
      <w:rPr>
        <w:rFonts w:hint="default"/>
        <w:lang w:val="ro-RO" w:eastAsia="en-US" w:bidi="ar-SA"/>
      </w:rPr>
    </w:lvl>
    <w:lvl w:ilvl="4" w:tplc="1440285C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A0742AFE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6" w:tplc="AF24A6BC">
      <w:numFmt w:val="bullet"/>
      <w:lvlText w:val="•"/>
      <w:lvlJc w:val="left"/>
      <w:pPr>
        <w:ind w:left="5957" w:hanging="360"/>
      </w:pPr>
      <w:rPr>
        <w:rFonts w:hint="default"/>
        <w:lang w:val="ro-RO" w:eastAsia="en-US" w:bidi="ar-SA"/>
      </w:rPr>
    </w:lvl>
    <w:lvl w:ilvl="7" w:tplc="1AD0F136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641CE710">
      <w:numFmt w:val="bullet"/>
      <w:lvlText w:val="•"/>
      <w:lvlJc w:val="left"/>
      <w:pPr>
        <w:ind w:left="7657" w:hanging="360"/>
      </w:pPr>
      <w:rPr>
        <w:rFonts w:hint="default"/>
        <w:lang w:val="ro-RO" w:eastAsia="en-US" w:bidi="ar-SA"/>
      </w:rPr>
    </w:lvl>
  </w:abstractNum>
  <w:num w:numId="1" w16cid:durableId="1909728281">
    <w:abstractNumId w:val="2"/>
  </w:num>
  <w:num w:numId="2" w16cid:durableId="1473211104">
    <w:abstractNumId w:val="0"/>
  </w:num>
  <w:num w:numId="3" w16cid:durableId="956450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45A"/>
    <w:rsid w:val="00007A4A"/>
    <w:rsid w:val="00037A4F"/>
    <w:rsid w:val="000B46B3"/>
    <w:rsid w:val="000D38C9"/>
    <w:rsid w:val="000D6EAE"/>
    <w:rsid w:val="00144BE9"/>
    <w:rsid w:val="001562C5"/>
    <w:rsid w:val="00197A98"/>
    <w:rsid w:val="001A1B86"/>
    <w:rsid w:val="001A2A06"/>
    <w:rsid w:val="001C3CC9"/>
    <w:rsid w:val="001F1BE7"/>
    <w:rsid w:val="001F3645"/>
    <w:rsid w:val="001F79C4"/>
    <w:rsid w:val="002158D9"/>
    <w:rsid w:val="00234693"/>
    <w:rsid w:val="002718C6"/>
    <w:rsid w:val="00295B00"/>
    <w:rsid w:val="002B6556"/>
    <w:rsid w:val="002C7EEC"/>
    <w:rsid w:val="002F1DC1"/>
    <w:rsid w:val="0030369C"/>
    <w:rsid w:val="00314971"/>
    <w:rsid w:val="00335D0C"/>
    <w:rsid w:val="00341BF0"/>
    <w:rsid w:val="00345707"/>
    <w:rsid w:val="00371D44"/>
    <w:rsid w:val="003A0895"/>
    <w:rsid w:val="003A1FE7"/>
    <w:rsid w:val="003F374B"/>
    <w:rsid w:val="0041793C"/>
    <w:rsid w:val="00432AA2"/>
    <w:rsid w:val="00485A37"/>
    <w:rsid w:val="004A0189"/>
    <w:rsid w:val="004B3520"/>
    <w:rsid w:val="004C595D"/>
    <w:rsid w:val="004D723D"/>
    <w:rsid w:val="005F65E3"/>
    <w:rsid w:val="00601DE0"/>
    <w:rsid w:val="00605DB5"/>
    <w:rsid w:val="006454F5"/>
    <w:rsid w:val="006919FA"/>
    <w:rsid w:val="006A0568"/>
    <w:rsid w:val="006C0BDA"/>
    <w:rsid w:val="006E2544"/>
    <w:rsid w:val="006E6CE9"/>
    <w:rsid w:val="006F69AB"/>
    <w:rsid w:val="0072345A"/>
    <w:rsid w:val="007377B9"/>
    <w:rsid w:val="0074511A"/>
    <w:rsid w:val="007670C9"/>
    <w:rsid w:val="007723FE"/>
    <w:rsid w:val="00773CC7"/>
    <w:rsid w:val="00776FFE"/>
    <w:rsid w:val="007908C3"/>
    <w:rsid w:val="007A1C58"/>
    <w:rsid w:val="007C22FC"/>
    <w:rsid w:val="007D28BF"/>
    <w:rsid w:val="007D3ACF"/>
    <w:rsid w:val="007E5FB5"/>
    <w:rsid w:val="00826E54"/>
    <w:rsid w:val="00851AD6"/>
    <w:rsid w:val="0090295A"/>
    <w:rsid w:val="009103F6"/>
    <w:rsid w:val="00916852"/>
    <w:rsid w:val="0098118E"/>
    <w:rsid w:val="0099562B"/>
    <w:rsid w:val="009B2419"/>
    <w:rsid w:val="009F7337"/>
    <w:rsid w:val="00A058F3"/>
    <w:rsid w:val="00A10528"/>
    <w:rsid w:val="00AB6543"/>
    <w:rsid w:val="00AC7C61"/>
    <w:rsid w:val="00AD620D"/>
    <w:rsid w:val="00AF49EB"/>
    <w:rsid w:val="00B205BE"/>
    <w:rsid w:val="00B205D0"/>
    <w:rsid w:val="00B20DFC"/>
    <w:rsid w:val="00B34369"/>
    <w:rsid w:val="00B5586E"/>
    <w:rsid w:val="00B75C2B"/>
    <w:rsid w:val="00BC2A0F"/>
    <w:rsid w:val="00BD5734"/>
    <w:rsid w:val="00BF3E9B"/>
    <w:rsid w:val="00CA1688"/>
    <w:rsid w:val="00CA6BB5"/>
    <w:rsid w:val="00CE3802"/>
    <w:rsid w:val="00D233C1"/>
    <w:rsid w:val="00D737A6"/>
    <w:rsid w:val="00DB09B7"/>
    <w:rsid w:val="00DC606D"/>
    <w:rsid w:val="00DE3185"/>
    <w:rsid w:val="00DE38D5"/>
    <w:rsid w:val="00DF5B02"/>
    <w:rsid w:val="00E46913"/>
    <w:rsid w:val="00E72B21"/>
    <w:rsid w:val="00E80B4A"/>
    <w:rsid w:val="00E9240D"/>
    <w:rsid w:val="00EA3BDA"/>
    <w:rsid w:val="00EA6AF2"/>
    <w:rsid w:val="00ED00C5"/>
    <w:rsid w:val="00ED3D66"/>
    <w:rsid w:val="00F17C32"/>
    <w:rsid w:val="00F3330A"/>
    <w:rsid w:val="00FB54BC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AF182"/>
  <w15:docId w15:val="{2E95A964-A593-4BBB-BE52-43D51B78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369"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rsid w:val="00B34369"/>
    <w:pPr>
      <w:ind w:left="141"/>
      <w:outlineLvl w:val="0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436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sid w:val="00B34369"/>
    <w:rPr>
      <w:sz w:val="24"/>
      <w:szCs w:val="24"/>
    </w:rPr>
  </w:style>
  <w:style w:type="paragraph" w:styleId="Titlu">
    <w:name w:val="Title"/>
    <w:basedOn w:val="Normal"/>
    <w:uiPriority w:val="10"/>
    <w:qFormat/>
    <w:rsid w:val="00B34369"/>
    <w:pPr>
      <w:ind w:left="2265"/>
    </w:pPr>
    <w:rPr>
      <w:b/>
      <w:bCs/>
      <w:sz w:val="32"/>
      <w:szCs w:val="32"/>
    </w:rPr>
  </w:style>
  <w:style w:type="paragraph" w:styleId="Listparagraf">
    <w:name w:val="List Paragraph"/>
    <w:basedOn w:val="Normal"/>
    <w:uiPriority w:val="1"/>
    <w:qFormat/>
    <w:rsid w:val="00B34369"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rsid w:val="00B34369"/>
    <w:pPr>
      <w:ind w:left="28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B205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B2419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2419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524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Apetroaie Ionela</cp:lastModifiedBy>
  <cp:revision>96</cp:revision>
  <dcterms:created xsi:type="dcterms:W3CDTF">2025-11-03T14:58:00Z</dcterms:created>
  <dcterms:modified xsi:type="dcterms:W3CDTF">2026-03-09T15:41:00Z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2016</vt:lpwstr>
  </property>
</Properties>
</file>